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BB0204">
        <w:rPr>
          <w:rFonts w:ascii="Tahoma" w:hAnsi="Tahoma" w:cs="Tahoma"/>
          <w:bCs/>
          <w:szCs w:val="24"/>
        </w:rPr>
        <w:t>26</w:t>
      </w:r>
      <w:bookmarkStart w:id="0" w:name="_GoBack"/>
      <w:bookmarkEnd w:id="0"/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00179">
        <w:rPr>
          <w:rFonts w:ascii="Tahoma" w:hAnsi="Tahoma" w:cs="Tahoma"/>
          <w:bCs/>
          <w:szCs w:val="24"/>
        </w:rPr>
        <w:t>octubre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B8448B" w:rsidRDefault="00B8448B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sz w:val="32"/>
          <w:szCs w:val="32"/>
        </w:rPr>
      </w:pPr>
    </w:p>
    <w:p w:rsidR="008E46C0" w:rsidRDefault="008E46C0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Junto a la difícil situación del sector, ADISAB destaca el fortalecimiento del asociacionismo empresarial con la Covid-19</w:t>
      </w:r>
    </w:p>
    <w:p w:rsidR="008E46C0" w:rsidRDefault="008E46C0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b/>
          <w:sz w:val="32"/>
          <w:szCs w:val="32"/>
        </w:rPr>
      </w:pPr>
    </w:p>
    <w:p w:rsidR="008E46C0" w:rsidRPr="009727FB" w:rsidRDefault="008E46C0" w:rsidP="008E46C0">
      <w:pPr>
        <w:pStyle w:val="NormalWeb"/>
        <w:numPr>
          <w:ilvl w:val="0"/>
          <w:numId w:val="43"/>
        </w:numPr>
        <w:spacing w:before="0" w:beforeAutospacing="0" w:after="0" w:afterAutospacing="0"/>
        <w:jc w:val="center"/>
        <w:rPr>
          <w:rFonts w:ascii="Tahoma" w:hAnsi="Tahoma" w:cs="Tahoma"/>
          <w:b/>
        </w:rPr>
      </w:pPr>
      <w:r w:rsidRPr="009727FB">
        <w:rPr>
          <w:rFonts w:ascii="Tahoma" w:hAnsi="Tahoma" w:cs="Tahoma"/>
          <w:b/>
        </w:rPr>
        <w:t>En el caso de Albacete, la Asociación trabaja</w:t>
      </w:r>
      <w:r w:rsidR="009727FB" w:rsidRPr="009727FB">
        <w:rPr>
          <w:rFonts w:ascii="Tahoma" w:hAnsi="Tahoma" w:cs="Tahoma"/>
          <w:b/>
        </w:rPr>
        <w:t xml:space="preserve"> con el Ayuntamiento en los horarios de carga y descarga y movilidad en las nuevas zonas y calles peatonales</w:t>
      </w:r>
    </w:p>
    <w:p w:rsidR="008E46C0" w:rsidRPr="008E46C0" w:rsidRDefault="008E46C0" w:rsidP="008E46C0">
      <w:pPr>
        <w:pStyle w:val="NormalWeb"/>
        <w:spacing w:before="0" w:beforeAutospacing="0" w:after="0" w:afterAutospacing="0"/>
        <w:jc w:val="center"/>
        <w:rPr>
          <w:rFonts w:ascii="Tahoma" w:hAnsi="Tahoma" w:cs="Tahoma"/>
          <w:sz w:val="32"/>
          <w:szCs w:val="32"/>
        </w:rPr>
      </w:pP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2944A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 w:rsidRPr="00B8448B">
        <w:rPr>
          <w:rFonts w:ascii="Tahoma" w:hAnsi="Tahoma" w:cs="Tahoma"/>
        </w:rPr>
        <w:t xml:space="preserve">La </w:t>
      </w:r>
      <w:hyperlink r:id="rId8" w:history="1">
        <w:r w:rsidRPr="00B14A12">
          <w:rPr>
            <w:rStyle w:val="Hipervnculo"/>
            <w:rFonts w:ascii="Tahoma" w:hAnsi="Tahoma" w:cs="Tahoma"/>
          </w:rPr>
          <w:t>Asociación de Distribuidores de Albacete,</w:t>
        </w:r>
        <w:r w:rsidR="00544388" w:rsidRPr="00B14A12">
          <w:rPr>
            <w:rStyle w:val="Hipervnculo"/>
            <w:rFonts w:ascii="Tahoma" w:hAnsi="Tahoma" w:cs="Tahoma"/>
          </w:rPr>
          <w:t xml:space="preserve"> </w:t>
        </w:r>
        <w:r w:rsidRPr="00B14A12">
          <w:rPr>
            <w:rStyle w:val="Hipervnculo"/>
            <w:rFonts w:ascii="Tahoma" w:hAnsi="Tahoma" w:cs="Tahoma"/>
          </w:rPr>
          <w:t>ADISAB</w:t>
        </w:r>
      </w:hyperlink>
      <w:r w:rsidRPr="00B8448B">
        <w:rPr>
          <w:rFonts w:ascii="Tahoma" w:hAnsi="Tahoma" w:cs="Tahoma"/>
        </w:rPr>
        <w:t xml:space="preserve">, integrada en </w:t>
      </w:r>
      <w:hyperlink r:id="rId9" w:history="1">
        <w:r w:rsidRPr="00B14A12">
          <w:rPr>
            <w:rStyle w:val="Hipervnculo"/>
            <w:rFonts w:ascii="Tahoma" w:hAnsi="Tahoma" w:cs="Tahoma"/>
          </w:rPr>
          <w:t>FEDA</w:t>
        </w:r>
      </w:hyperlink>
      <w:r w:rsidRPr="00B8448B">
        <w:rPr>
          <w:rFonts w:ascii="Tahoma" w:hAnsi="Tahoma" w:cs="Tahoma"/>
        </w:rPr>
        <w:t>, ha celebrado su Asamblea Electoral donde se he elegido la nueva Junta Directiva y se ha presentado el bal</w:t>
      </w:r>
      <w:r w:rsidR="00544388">
        <w:rPr>
          <w:rFonts w:ascii="Tahoma" w:hAnsi="Tahoma" w:cs="Tahoma"/>
        </w:rPr>
        <w:t>ance de la actividad realizada.</w:t>
      </w:r>
    </w:p>
    <w:p w:rsidR="00544388" w:rsidRDefault="00544388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544388" w:rsidRDefault="00544388" w:rsidP="00544388">
      <w:pPr>
        <w:pStyle w:val="NormalWeb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Carlos La Orden (</w:t>
      </w:r>
      <w:hyperlink r:id="rId10" w:history="1">
        <w:r w:rsidRPr="008E46C0">
          <w:rPr>
            <w:rStyle w:val="Hipervnculo"/>
            <w:rFonts w:ascii="Tahoma" w:hAnsi="Tahoma" w:cs="Tahoma"/>
          </w:rPr>
          <w:t>Anigma, S.L</w:t>
        </w:r>
      </w:hyperlink>
      <w:r>
        <w:rPr>
          <w:rFonts w:ascii="Tahoma" w:hAnsi="Tahoma" w:cs="Tahoma"/>
        </w:rPr>
        <w:t>.), ha sido reelegido presidente de la Asociación, y con él como vicepresidente,</w:t>
      </w:r>
      <w:r w:rsidRPr="00D745A0">
        <w:rPr>
          <w:rFonts w:ascii="Tahoma" w:hAnsi="Tahoma" w:cs="Tahoma"/>
        </w:rPr>
        <w:t xml:space="preserve"> Enrique Sánchez H</w:t>
      </w:r>
      <w:r>
        <w:rPr>
          <w:rFonts w:ascii="Tahoma" w:hAnsi="Tahoma" w:cs="Tahoma"/>
        </w:rPr>
        <w:t>erreros (</w:t>
      </w:r>
      <w:hyperlink r:id="rId11" w:history="1">
        <w:r w:rsidRPr="008E46C0">
          <w:rPr>
            <w:rStyle w:val="Hipervnculo"/>
            <w:rFonts w:ascii="Tahoma" w:hAnsi="Tahoma" w:cs="Tahoma"/>
          </w:rPr>
          <w:t>Alba Distribución S.L</w:t>
        </w:r>
      </w:hyperlink>
      <w:r>
        <w:rPr>
          <w:rFonts w:ascii="Tahoma" w:hAnsi="Tahoma" w:cs="Tahoma"/>
        </w:rPr>
        <w:t>.); secretario,</w:t>
      </w:r>
      <w:r w:rsidRPr="00D745A0">
        <w:rPr>
          <w:rFonts w:ascii="Tahoma" w:hAnsi="Tahoma" w:cs="Tahoma"/>
        </w:rPr>
        <w:t xml:space="preserve"> Juan Carlos Guil</w:t>
      </w:r>
      <w:r>
        <w:rPr>
          <w:rFonts w:ascii="Tahoma" w:hAnsi="Tahoma" w:cs="Tahoma"/>
        </w:rPr>
        <w:t>lén Montañés (</w:t>
      </w:r>
      <w:hyperlink r:id="rId12" w:history="1">
        <w:r w:rsidRPr="008E46C0">
          <w:rPr>
            <w:rStyle w:val="Hipervnculo"/>
            <w:rFonts w:ascii="Tahoma" w:hAnsi="Tahoma" w:cs="Tahoma"/>
          </w:rPr>
          <w:t>Guillén Mico S.L.);</w:t>
        </w:r>
      </w:hyperlink>
      <w:r>
        <w:rPr>
          <w:rFonts w:ascii="Tahoma" w:hAnsi="Tahoma" w:cs="Tahoma"/>
        </w:rPr>
        <w:t xml:space="preserve"> tesorero,</w:t>
      </w:r>
      <w:r w:rsidRPr="00D745A0">
        <w:rPr>
          <w:rFonts w:ascii="Tahoma" w:hAnsi="Tahoma" w:cs="Tahoma"/>
        </w:rPr>
        <w:t xml:space="preserve"> Luis Miguel</w:t>
      </w:r>
      <w:r>
        <w:rPr>
          <w:rFonts w:ascii="Tahoma" w:hAnsi="Tahoma" w:cs="Tahoma"/>
        </w:rPr>
        <w:t xml:space="preserve"> López </w:t>
      </w:r>
      <w:proofErr w:type="spellStart"/>
      <w:r>
        <w:rPr>
          <w:rFonts w:ascii="Tahoma" w:hAnsi="Tahoma" w:cs="Tahoma"/>
        </w:rPr>
        <w:t>López</w:t>
      </w:r>
      <w:proofErr w:type="spellEnd"/>
      <w:r>
        <w:rPr>
          <w:rFonts w:ascii="Tahoma" w:hAnsi="Tahoma" w:cs="Tahoma"/>
        </w:rPr>
        <w:t xml:space="preserve"> (</w:t>
      </w:r>
      <w:hyperlink r:id="rId13" w:history="1">
        <w:r w:rsidRPr="008E46C0">
          <w:rPr>
            <w:rStyle w:val="Hipervnculo"/>
            <w:rFonts w:ascii="Tahoma" w:hAnsi="Tahoma" w:cs="Tahoma"/>
          </w:rPr>
          <w:t>Distribuidora Albacete, S.A</w:t>
        </w:r>
      </w:hyperlink>
      <w:r>
        <w:rPr>
          <w:rFonts w:ascii="Tahoma" w:hAnsi="Tahoma" w:cs="Tahoma"/>
        </w:rPr>
        <w:t>.); y vocales,</w:t>
      </w:r>
      <w:r w:rsidRPr="00D745A0">
        <w:rPr>
          <w:rFonts w:ascii="Tahoma" w:hAnsi="Tahoma" w:cs="Tahoma"/>
        </w:rPr>
        <w:t xml:space="preserve"> Antonio de L</w:t>
      </w:r>
      <w:r>
        <w:rPr>
          <w:rFonts w:ascii="Tahoma" w:hAnsi="Tahoma" w:cs="Tahoma"/>
        </w:rPr>
        <w:t>amo Martínez (</w:t>
      </w:r>
      <w:proofErr w:type="spellStart"/>
      <w:r w:rsidR="008E46C0">
        <w:rPr>
          <w:rFonts w:ascii="Tahoma" w:hAnsi="Tahoma" w:cs="Tahoma"/>
        </w:rPr>
        <w:fldChar w:fldCharType="begin"/>
      </w:r>
      <w:r w:rsidR="008E46C0">
        <w:rPr>
          <w:rFonts w:ascii="Tahoma" w:hAnsi="Tahoma" w:cs="Tahoma"/>
        </w:rPr>
        <w:instrText xml:space="preserve"> HYPERLINK "https://albafrio.com/" </w:instrText>
      </w:r>
      <w:r w:rsidR="008E46C0">
        <w:rPr>
          <w:rFonts w:ascii="Tahoma" w:hAnsi="Tahoma" w:cs="Tahoma"/>
        </w:rPr>
        <w:fldChar w:fldCharType="separate"/>
      </w:r>
      <w:r w:rsidRPr="008E46C0">
        <w:rPr>
          <w:rStyle w:val="Hipervnculo"/>
          <w:rFonts w:ascii="Tahoma" w:hAnsi="Tahoma" w:cs="Tahoma"/>
        </w:rPr>
        <w:t>Congealba</w:t>
      </w:r>
      <w:proofErr w:type="spellEnd"/>
      <w:r w:rsidRPr="008E46C0">
        <w:rPr>
          <w:rStyle w:val="Hipervnculo"/>
          <w:rFonts w:ascii="Tahoma" w:hAnsi="Tahoma" w:cs="Tahoma"/>
        </w:rPr>
        <w:t>, S.L</w:t>
      </w:r>
      <w:r w:rsidR="008E46C0"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.) y </w:t>
      </w:r>
      <w:r w:rsidRPr="00D745A0">
        <w:rPr>
          <w:rFonts w:ascii="Tahoma" w:hAnsi="Tahoma" w:cs="Tahoma"/>
        </w:rPr>
        <w:t xml:space="preserve">Esteban </w:t>
      </w:r>
      <w:r>
        <w:rPr>
          <w:rFonts w:ascii="Tahoma" w:hAnsi="Tahoma" w:cs="Tahoma"/>
        </w:rPr>
        <w:t>López García (Representaciones López García S.L.L.).</w:t>
      </w: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B8448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Se ha contado</w:t>
      </w:r>
      <w:r w:rsidR="00B8448B" w:rsidRPr="00B8448B">
        <w:rPr>
          <w:rFonts w:ascii="Tahoma" w:hAnsi="Tahoma" w:cs="Tahoma"/>
        </w:rPr>
        <w:t xml:space="preserve"> con la intervención del </w:t>
      </w:r>
      <w:r w:rsidR="00544388">
        <w:rPr>
          <w:rFonts w:ascii="Tahoma" w:hAnsi="Tahoma" w:cs="Tahoma"/>
        </w:rPr>
        <w:t>director g</w:t>
      </w:r>
      <w:r>
        <w:rPr>
          <w:rFonts w:ascii="Tahoma" w:hAnsi="Tahoma" w:cs="Tahoma"/>
        </w:rPr>
        <w:t xml:space="preserve">eneral de </w:t>
      </w:r>
      <w:r w:rsidR="00122A86">
        <w:rPr>
          <w:rFonts w:ascii="Tahoma" w:hAnsi="Tahoma" w:cs="Tahoma"/>
        </w:rPr>
        <w:t>Fedishorera</w:t>
      </w:r>
      <w:r>
        <w:rPr>
          <w:rFonts w:ascii="Tahoma" w:hAnsi="Tahoma" w:cs="Tahoma"/>
        </w:rPr>
        <w:t xml:space="preserve">, José Manuel Fernández Echevarría, </w:t>
      </w:r>
      <w:r w:rsidR="00B8448B" w:rsidRPr="00B8448B">
        <w:rPr>
          <w:rFonts w:ascii="Tahoma" w:hAnsi="Tahoma" w:cs="Tahoma"/>
        </w:rPr>
        <w:t>que ha analizado la situación actual del sector y ha destacado el fortalecimiento de las asociaciones durante la c</w:t>
      </w:r>
      <w:r w:rsidR="00122A86">
        <w:rPr>
          <w:rFonts w:ascii="Tahoma" w:hAnsi="Tahoma" w:cs="Tahoma"/>
        </w:rPr>
        <w:t>risis sanitaria originada por la</w:t>
      </w:r>
      <w:r w:rsidR="00B8448B" w:rsidRPr="00B8448B">
        <w:rPr>
          <w:rFonts w:ascii="Tahoma" w:hAnsi="Tahoma" w:cs="Tahoma"/>
        </w:rPr>
        <w:t xml:space="preserve"> COVID-19.</w:t>
      </w:r>
      <w:r>
        <w:rPr>
          <w:rFonts w:ascii="Tahoma" w:hAnsi="Tahoma" w:cs="Tahoma"/>
        </w:rPr>
        <w:t xml:space="preserve"> </w:t>
      </w:r>
      <w:r w:rsidR="00B8448B" w:rsidRPr="00B8448B">
        <w:rPr>
          <w:rFonts w:ascii="Tahoma" w:hAnsi="Tahoma" w:cs="Tahoma"/>
        </w:rPr>
        <w:t>Además</w:t>
      </w:r>
      <w:r w:rsidR="00122A86">
        <w:rPr>
          <w:rFonts w:ascii="Tahoma" w:hAnsi="Tahoma" w:cs="Tahoma"/>
        </w:rPr>
        <w:t>,</w:t>
      </w:r>
      <w:r w:rsidR="00B8448B" w:rsidRPr="00B8448B">
        <w:rPr>
          <w:rFonts w:ascii="Tahoma" w:hAnsi="Tahoma" w:cs="Tahoma"/>
        </w:rPr>
        <w:t xml:space="preserve"> ha incidido sobre la enorme dependencia </w:t>
      </w:r>
      <w:r w:rsidRPr="00B8448B">
        <w:rPr>
          <w:rFonts w:ascii="Tahoma" w:hAnsi="Tahoma" w:cs="Tahoma"/>
        </w:rPr>
        <w:t>de</w:t>
      </w:r>
      <w:r w:rsidR="00B8448B" w:rsidRPr="00B8448B">
        <w:rPr>
          <w:rFonts w:ascii="Tahoma" w:hAnsi="Tahoma" w:cs="Tahoma"/>
        </w:rPr>
        <w:t xml:space="preserve"> la distribución en la hostelería y los nuevos escenarios que se pueden presentar.</w:t>
      </w:r>
    </w:p>
    <w:p w:rsidR="00122A86" w:rsidRPr="00B8448B" w:rsidRDefault="00122A86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B8448B" w:rsidRDefault="00B8448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 w:rsidRPr="00B8448B">
        <w:rPr>
          <w:rFonts w:ascii="Tahoma" w:hAnsi="Tahoma" w:cs="Tahoma"/>
        </w:rPr>
        <w:t>Finalmente</w:t>
      </w:r>
      <w:r w:rsidR="00122A86">
        <w:rPr>
          <w:rFonts w:ascii="Tahoma" w:hAnsi="Tahoma" w:cs="Tahoma"/>
        </w:rPr>
        <w:t>,</w:t>
      </w:r>
      <w:r w:rsidRPr="00B8448B">
        <w:rPr>
          <w:rFonts w:ascii="Tahoma" w:hAnsi="Tahoma" w:cs="Tahoma"/>
        </w:rPr>
        <w:t xml:space="preserve"> </w:t>
      </w:r>
      <w:r w:rsidR="002944AB">
        <w:rPr>
          <w:rFonts w:ascii="Tahoma" w:hAnsi="Tahoma" w:cs="Tahoma"/>
        </w:rPr>
        <w:t>h</w:t>
      </w:r>
      <w:r w:rsidRPr="00B8448B">
        <w:rPr>
          <w:rFonts w:ascii="Tahoma" w:hAnsi="Tahoma" w:cs="Tahoma"/>
        </w:rPr>
        <w:t>a señalado</w:t>
      </w:r>
      <w:r w:rsidR="002944AB">
        <w:rPr>
          <w:rFonts w:ascii="Tahoma" w:hAnsi="Tahoma" w:cs="Tahoma"/>
        </w:rPr>
        <w:t xml:space="preserve"> algunos de los retos que es necesario que se aborden por parte del sector tales como la</w:t>
      </w:r>
      <w:r w:rsidRPr="00B8448B">
        <w:rPr>
          <w:rFonts w:ascii="Tahoma" w:hAnsi="Tahoma" w:cs="Tahoma"/>
        </w:rPr>
        <w:t xml:space="preserve"> transformación digital, sostenibilidad, racionalizar la distribución y defender y apo</w:t>
      </w:r>
      <w:r w:rsidR="002944AB">
        <w:rPr>
          <w:rFonts w:ascii="Tahoma" w:hAnsi="Tahoma" w:cs="Tahoma"/>
        </w:rPr>
        <w:t>yar los envases reutilizables.</w:t>
      </w: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2944AB" w:rsidRDefault="002944AB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Durante la Asamblea se han comentado</w:t>
      </w:r>
      <w:r w:rsidR="009975EE">
        <w:rPr>
          <w:rFonts w:ascii="Tahoma" w:hAnsi="Tahoma" w:cs="Tahoma"/>
        </w:rPr>
        <w:t xml:space="preserve"> entre otros puntos </w:t>
      </w:r>
      <w:r>
        <w:rPr>
          <w:rFonts w:ascii="Tahoma" w:hAnsi="Tahoma" w:cs="Tahoma"/>
        </w:rPr>
        <w:t>las distintas reuniones que ADISAB ha mantenido con la Concejalía de Movilidad Urbana del Ayuntamiento de Albacete, en relación a los trabajos de carga y descarga en las nuevas zonas peatonales Gaona y Rosario, así como las relativas al inminente cierre de Tesifonte Gallego y a las modificaciones que se introducirán en la Or</w:t>
      </w:r>
      <w:r w:rsidR="009975EE">
        <w:rPr>
          <w:rFonts w:ascii="Tahoma" w:hAnsi="Tahoma" w:cs="Tahoma"/>
        </w:rPr>
        <w:t>denanza reguladora del estacionamiento regulado y controlado en la vía pública.</w:t>
      </w:r>
    </w:p>
    <w:p w:rsidR="00122A86" w:rsidRDefault="00122A86" w:rsidP="00B8448B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</w:p>
    <w:p w:rsidR="00931F83" w:rsidRDefault="009975EE" w:rsidP="009727FB">
      <w:pPr>
        <w:pStyle w:val="NormalWeb"/>
        <w:spacing w:before="0" w:beforeAutospacing="0" w:after="0" w:afterAutospacing="0"/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>También se ha analizado la difícil situación</w:t>
      </w:r>
      <w:r w:rsidR="00B14A12">
        <w:rPr>
          <w:rFonts w:ascii="Tahoma" w:hAnsi="Tahoma" w:cs="Tahoma"/>
        </w:rPr>
        <w:t xml:space="preserve"> que está atravesando el sector de la distribución, tan relacionado con la hostelería y el comercio.</w:t>
      </w:r>
    </w:p>
    <w:sectPr w:rsidR="00931F83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F02" w:rsidRDefault="00606F02">
      <w:r>
        <w:separator/>
      </w:r>
    </w:p>
  </w:endnote>
  <w:endnote w:type="continuationSeparator" w:id="0">
    <w:p w:rsidR="00606F02" w:rsidRDefault="00606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 Unicode MS"/>
    <w:charset w:val="80"/>
    <w:family w:val="swiss"/>
    <w:pitch w:val="variable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B020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B020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B8448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B020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B8448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B020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B8448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F02" w:rsidRDefault="00606F02">
      <w:r>
        <w:separator/>
      </w:r>
    </w:p>
  </w:footnote>
  <w:footnote w:type="continuationSeparator" w:id="0">
    <w:p w:rsidR="00606F02" w:rsidRDefault="00606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491.25pt;height:205.5pt" o:bullet="t">
        <v:imagedata r:id="rId1" o:title="feda_logo_con_malla_2011"/>
      </v:shape>
    </w:pict>
  </w:numPicBullet>
  <w:numPicBullet w:numPicBulletId="1">
    <w:pict>
      <v:shape id="_x0000_i1063" type="#_x0000_t75" style="width:166.5pt;height:223.5pt" o:bullet="t">
        <v:imagedata r:id="rId2" o:title="clip_image001"/>
      </v:shape>
    </w:pict>
  </w:numPicBullet>
  <w:numPicBullet w:numPicBulletId="2">
    <w:pict>
      <v:shape id="_x0000_i1064" type="#_x0000_t75" style="width:435pt;height:255pt" o:bullet="t">
        <v:imagedata r:id="rId3" o:title="FEDA-Logo 40 aniversario"/>
      </v:shape>
    </w:pict>
  </w:numPicBullet>
  <w:numPicBullet w:numPicBulletId="3">
    <w:pict>
      <v:shape id="_x0000_i1065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1B1934"/>
    <w:multiLevelType w:val="hybridMultilevel"/>
    <w:tmpl w:val="128615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1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6"/>
  </w:num>
  <w:num w:numId="7">
    <w:abstractNumId w:val="8"/>
  </w:num>
  <w:num w:numId="8">
    <w:abstractNumId w:val="32"/>
  </w:num>
  <w:num w:numId="9">
    <w:abstractNumId w:val="19"/>
  </w:num>
  <w:num w:numId="10">
    <w:abstractNumId w:val="13"/>
  </w:num>
  <w:num w:numId="11">
    <w:abstractNumId w:val="29"/>
  </w:num>
  <w:num w:numId="12">
    <w:abstractNumId w:val="11"/>
  </w:num>
  <w:num w:numId="13">
    <w:abstractNumId w:val="43"/>
  </w:num>
  <w:num w:numId="14">
    <w:abstractNumId w:val="7"/>
  </w:num>
  <w:num w:numId="15">
    <w:abstractNumId w:val="18"/>
  </w:num>
  <w:num w:numId="16">
    <w:abstractNumId w:val="42"/>
  </w:num>
  <w:num w:numId="17">
    <w:abstractNumId w:val="27"/>
  </w:num>
  <w:num w:numId="18">
    <w:abstractNumId w:val="21"/>
  </w:num>
  <w:num w:numId="19">
    <w:abstractNumId w:val="38"/>
  </w:num>
  <w:num w:numId="20">
    <w:abstractNumId w:val="9"/>
  </w:num>
  <w:num w:numId="21">
    <w:abstractNumId w:val="17"/>
  </w:num>
  <w:num w:numId="22">
    <w:abstractNumId w:val="37"/>
  </w:num>
  <w:num w:numId="23">
    <w:abstractNumId w:val="10"/>
  </w:num>
  <w:num w:numId="24">
    <w:abstractNumId w:val="33"/>
  </w:num>
  <w:num w:numId="25">
    <w:abstractNumId w:val="15"/>
  </w:num>
  <w:num w:numId="26">
    <w:abstractNumId w:val="39"/>
  </w:num>
  <w:num w:numId="27">
    <w:abstractNumId w:val="20"/>
  </w:num>
  <w:num w:numId="28">
    <w:abstractNumId w:val="31"/>
  </w:num>
  <w:num w:numId="29">
    <w:abstractNumId w:val="41"/>
  </w:num>
  <w:num w:numId="30">
    <w:abstractNumId w:val="31"/>
  </w:num>
  <w:num w:numId="31">
    <w:abstractNumId w:val="25"/>
  </w:num>
  <w:num w:numId="32">
    <w:abstractNumId w:val="23"/>
  </w:num>
  <w:num w:numId="33">
    <w:abstractNumId w:val="22"/>
  </w:num>
  <w:num w:numId="34">
    <w:abstractNumId w:val="36"/>
  </w:num>
  <w:num w:numId="35">
    <w:abstractNumId w:val="35"/>
  </w:num>
  <w:num w:numId="36">
    <w:abstractNumId w:val="12"/>
  </w:num>
  <w:num w:numId="37">
    <w:abstractNumId w:val="34"/>
  </w:num>
  <w:num w:numId="38">
    <w:abstractNumId w:val="44"/>
  </w:num>
  <w:num w:numId="39">
    <w:abstractNumId w:val="16"/>
  </w:num>
  <w:num w:numId="40">
    <w:abstractNumId w:val="14"/>
  </w:num>
  <w:num w:numId="41">
    <w:abstractNumId w:val="24"/>
  </w:num>
  <w:num w:numId="42">
    <w:abstractNumId w:val="30"/>
  </w:num>
  <w:num w:numId="43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2A86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4AB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09AE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4388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6F02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6C0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7FB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5EE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4A12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0CC0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204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45A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87-asociacion-provincial-de-distribuidores-de-albacete" TargetMode="External"/><Relationship Id="rId13" Type="http://schemas.openxmlformats.org/officeDocument/2006/relationships/hyperlink" Target="https://www.donde-estamos.es/distribuidora-albacete-sa-61172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uillenmico.com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lbadistribucion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anigmadistribucion.com/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D0738-2270-47EE-A142-C7AD18F5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327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2589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2019-03-27T09:39:00Z</cp:lastPrinted>
  <dcterms:created xsi:type="dcterms:W3CDTF">2020-10-23T10:21:00Z</dcterms:created>
  <dcterms:modified xsi:type="dcterms:W3CDTF">2020-10-26T09:43:00Z</dcterms:modified>
</cp:coreProperties>
</file>