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4E77ED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Pr="004E77ED" w:rsidRDefault="009D7581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Albacete, 21</w:t>
      </w:r>
      <w:r w:rsidR="004E77ED">
        <w:rPr>
          <w:rFonts w:ascii="Tahoma" w:hAnsi="Tahoma" w:cs="Tahoma"/>
          <w:color w:val="000000"/>
          <w:szCs w:val="24"/>
          <w:lang w:eastAsia="es-ES_tradnl"/>
        </w:rPr>
        <w:t xml:space="preserve"> enero 2021</w:t>
      </w:r>
    </w:p>
    <w:p w:rsidR="004E77ED" w:rsidRDefault="004E77ED" w:rsidP="004E77ED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E50218" w:rsidRDefault="00DA4C96" w:rsidP="00DA4C96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DA4C96">
        <w:rPr>
          <w:rFonts w:ascii="Tahoma" w:hAnsi="Tahoma" w:cs="Tahoma"/>
          <w:b/>
          <w:bCs/>
          <w:sz w:val="32"/>
          <w:szCs w:val="32"/>
        </w:rPr>
        <w:t>El comercio, con FECOM, Globalcaja y Aguas de Albacete sigue repartiendo regalos después de Navidad</w:t>
      </w:r>
    </w:p>
    <w:p w:rsidR="009D7581" w:rsidRDefault="009D7581" w:rsidP="00DA4C96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9D7581" w:rsidRPr="009D7581" w:rsidRDefault="009D7581" w:rsidP="009D7581">
      <w:pPr>
        <w:pStyle w:val="Prrafodelista"/>
        <w:numPr>
          <w:ilvl w:val="0"/>
          <w:numId w:val="49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  <w:szCs w:val="24"/>
        </w:rPr>
      </w:pPr>
      <w:r w:rsidRPr="009D7581">
        <w:rPr>
          <w:rFonts w:ascii="Tahoma" w:hAnsi="Tahoma" w:cs="Tahoma"/>
          <w:b/>
          <w:sz w:val="24"/>
          <w:szCs w:val="24"/>
        </w:rPr>
        <w:t>Han sido 60 vales de 30 euros cada uno, lo que supone 1.800 euros en compras</w:t>
      </w:r>
    </w:p>
    <w:p w:rsidR="00DA4C96" w:rsidRDefault="00DA4C96" w:rsidP="00DA4C96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DA4C96" w:rsidRPr="009D7581" w:rsidRDefault="00DA4C96" w:rsidP="00DA4C96">
      <w:pPr>
        <w:rPr>
          <w:rFonts w:ascii="Tahoma" w:hAnsi="Tahoma" w:cs="Tahoma"/>
          <w:szCs w:val="24"/>
        </w:rPr>
      </w:pPr>
      <w:r w:rsidRPr="009D7581">
        <w:rPr>
          <w:rFonts w:ascii="Tahoma" w:hAnsi="Tahoma" w:cs="Tahoma"/>
          <w:szCs w:val="24"/>
        </w:rPr>
        <w:t xml:space="preserve">La </w:t>
      </w:r>
      <w:hyperlink r:id="rId8" w:history="1">
        <w:r w:rsidRPr="009D7581">
          <w:rPr>
            <w:rStyle w:val="Hipervnculo"/>
            <w:rFonts w:ascii="Tahoma" w:hAnsi="Tahoma" w:cs="Tahoma"/>
            <w:szCs w:val="24"/>
          </w:rPr>
          <w:t>Federación de Comercio de Albacete</w:t>
        </w:r>
      </w:hyperlink>
      <w:r w:rsidRPr="009D7581">
        <w:rPr>
          <w:rFonts w:ascii="Tahoma" w:hAnsi="Tahoma" w:cs="Tahoma"/>
          <w:szCs w:val="24"/>
        </w:rPr>
        <w:t>, FECOM, ha celebrado hoy el sorteo de la campaña “El Buzón de la Navidad”, lo que supone que el comercio local de Albacete sigue repartiendo regalos después de las fiestas navideñas.</w:t>
      </w:r>
    </w:p>
    <w:p w:rsidR="00DA4C96" w:rsidRPr="009D7581" w:rsidRDefault="00DA4C96" w:rsidP="00DA4C96">
      <w:pPr>
        <w:rPr>
          <w:rFonts w:ascii="Tahoma" w:hAnsi="Tahoma" w:cs="Tahoma"/>
          <w:szCs w:val="24"/>
        </w:rPr>
      </w:pPr>
    </w:p>
    <w:p w:rsidR="00DA4C96" w:rsidRPr="009D7581" w:rsidRDefault="00DA4C96" w:rsidP="00DA4C96">
      <w:pPr>
        <w:rPr>
          <w:rFonts w:ascii="Tahoma" w:hAnsi="Tahoma" w:cs="Tahoma"/>
          <w:szCs w:val="24"/>
        </w:rPr>
      </w:pPr>
      <w:r w:rsidRPr="009D7581">
        <w:rPr>
          <w:rFonts w:ascii="Tahoma" w:hAnsi="Tahoma" w:cs="Tahoma"/>
          <w:szCs w:val="24"/>
        </w:rPr>
        <w:t xml:space="preserve">Una campaña que han contado con la inestimable colaboración de </w:t>
      </w:r>
      <w:hyperlink r:id="rId9" w:history="1">
        <w:r w:rsidRPr="009D7581">
          <w:rPr>
            <w:rStyle w:val="Hipervnculo"/>
            <w:rFonts w:ascii="Tahoma" w:hAnsi="Tahoma" w:cs="Tahoma"/>
            <w:szCs w:val="24"/>
          </w:rPr>
          <w:t>Globalcaja</w:t>
        </w:r>
      </w:hyperlink>
      <w:r w:rsidRPr="009D7581">
        <w:rPr>
          <w:rFonts w:ascii="Tahoma" w:hAnsi="Tahoma" w:cs="Tahoma"/>
          <w:szCs w:val="24"/>
        </w:rPr>
        <w:t xml:space="preserve"> y </w:t>
      </w:r>
      <w:hyperlink r:id="rId10" w:history="1">
        <w:r w:rsidRPr="009D7581">
          <w:rPr>
            <w:rStyle w:val="Hipervnculo"/>
            <w:rFonts w:ascii="Tahoma" w:hAnsi="Tahoma" w:cs="Tahoma"/>
            <w:szCs w:val="24"/>
          </w:rPr>
          <w:t>Aguas de Albacete</w:t>
        </w:r>
      </w:hyperlink>
      <w:r w:rsidRPr="009D7581">
        <w:rPr>
          <w:rFonts w:ascii="Tahoma" w:hAnsi="Tahoma" w:cs="Tahoma"/>
          <w:szCs w:val="24"/>
        </w:rPr>
        <w:t xml:space="preserve">, dos partners que ya con anterioridad pero especialmente desde el inicio de la pandemia, se han puesto de lado del pequeño comercio, apoyando todas las iniciativas que desde FECOM y </w:t>
      </w:r>
      <w:hyperlink r:id="rId11" w:history="1">
        <w:r w:rsidRPr="009D7581">
          <w:rPr>
            <w:rStyle w:val="Hipervnculo"/>
            <w:rFonts w:ascii="Tahoma" w:hAnsi="Tahoma" w:cs="Tahoma"/>
            <w:szCs w:val="24"/>
          </w:rPr>
          <w:t>FEDA</w:t>
        </w:r>
      </w:hyperlink>
      <w:r w:rsidRPr="009D7581">
        <w:rPr>
          <w:rFonts w:ascii="Tahoma" w:hAnsi="Tahoma" w:cs="Tahoma"/>
          <w:szCs w:val="24"/>
        </w:rPr>
        <w:t xml:space="preserve"> se les han propuesto para fomentar el consumo local, empezando por la reapertura de los comercios tras el confinamiento, divulgado “Comercio vecino, comercio seguro”, una manera de dar confianza al consumidor y apostando por el pequeño comercio, el comercio local y de proximidad.</w:t>
      </w:r>
    </w:p>
    <w:p w:rsidR="00DA4C96" w:rsidRPr="009D7581" w:rsidRDefault="00DA4C96" w:rsidP="00DA4C96">
      <w:pPr>
        <w:rPr>
          <w:rFonts w:ascii="Tahoma" w:hAnsi="Tahoma" w:cs="Tahoma"/>
          <w:szCs w:val="24"/>
        </w:rPr>
      </w:pPr>
    </w:p>
    <w:p w:rsidR="00DA4C96" w:rsidRPr="009D7581" w:rsidRDefault="009D7581" w:rsidP="00DA4C96">
      <w:pPr>
        <w:suppressAutoHyphens/>
        <w:autoSpaceDN w:val="0"/>
        <w:spacing w:after="160"/>
        <w:textAlignment w:val="baseline"/>
        <w:rPr>
          <w:rFonts w:ascii="Tahoma" w:hAnsi="Tahoma" w:cs="Tahoma"/>
          <w:szCs w:val="24"/>
        </w:rPr>
      </w:pPr>
      <w:r w:rsidRPr="009D7581">
        <w:rPr>
          <w:rFonts w:ascii="Tahoma" w:eastAsia="Calibri" w:hAnsi="Tahoma" w:cs="Tahoma"/>
          <w:szCs w:val="24"/>
          <w:lang w:val="es-ES"/>
        </w:rPr>
        <w:t xml:space="preserve">Esta mañana se ha realizado el sorteo </w:t>
      </w:r>
      <w:r w:rsidR="00DA4C96" w:rsidRPr="009D7581">
        <w:rPr>
          <w:rFonts w:ascii="Tahoma" w:eastAsia="Calibri" w:hAnsi="Tahoma" w:cs="Tahoma"/>
          <w:szCs w:val="24"/>
          <w:lang w:val="es-ES"/>
        </w:rPr>
        <w:t xml:space="preserve">entre todos los clientes que </w:t>
      </w:r>
      <w:r w:rsidRPr="009D7581">
        <w:rPr>
          <w:rFonts w:ascii="Tahoma" w:eastAsia="Calibri" w:hAnsi="Tahoma" w:cs="Tahoma"/>
          <w:szCs w:val="24"/>
          <w:lang w:val="es-ES"/>
        </w:rPr>
        <w:t>han dejado</w:t>
      </w:r>
      <w:r w:rsidR="00DA4C96" w:rsidRPr="009D7581">
        <w:rPr>
          <w:rFonts w:ascii="Tahoma" w:eastAsia="Calibri" w:hAnsi="Tahoma" w:cs="Tahoma"/>
          <w:szCs w:val="24"/>
          <w:lang w:val="es-ES"/>
        </w:rPr>
        <w:t xml:space="preserve"> su carta a los Reyes Magos en los comercios </w:t>
      </w:r>
      <w:r w:rsidRPr="009D7581">
        <w:rPr>
          <w:rFonts w:ascii="Tahoma" w:eastAsia="Calibri" w:hAnsi="Tahoma" w:cs="Tahoma"/>
          <w:szCs w:val="24"/>
          <w:lang w:val="es-ES"/>
        </w:rPr>
        <w:t xml:space="preserve">de FECOM. Han sido </w:t>
      </w:r>
      <w:r w:rsidR="00DA4C96" w:rsidRPr="009D7581">
        <w:rPr>
          <w:rFonts w:ascii="Tahoma" w:eastAsia="Calibri" w:hAnsi="Tahoma" w:cs="Tahoma"/>
          <w:szCs w:val="24"/>
          <w:lang w:val="es-ES"/>
        </w:rPr>
        <w:t xml:space="preserve">60 vales de 30 euros (1.800 €). Al mismo tiempo, cada comercio </w:t>
      </w:r>
      <w:r w:rsidRPr="009D7581">
        <w:rPr>
          <w:rFonts w:ascii="Tahoma" w:eastAsia="Calibri" w:hAnsi="Tahoma" w:cs="Tahoma"/>
          <w:szCs w:val="24"/>
          <w:lang w:val="es-ES"/>
        </w:rPr>
        <w:t xml:space="preserve">ha hecho </w:t>
      </w:r>
      <w:r w:rsidR="00DA4C96" w:rsidRPr="009D7581">
        <w:rPr>
          <w:rFonts w:ascii="Tahoma" w:eastAsia="Calibri" w:hAnsi="Tahoma" w:cs="Tahoma"/>
          <w:szCs w:val="24"/>
          <w:lang w:val="es-ES"/>
        </w:rPr>
        <w:t xml:space="preserve">su propio sorteo entre las cartas que </w:t>
      </w:r>
      <w:r w:rsidRPr="009D7581">
        <w:rPr>
          <w:rFonts w:ascii="Tahoma" w:eastAsia="Calibri" w:hAnsi="Tahoma" w:cs="Tahoma"/>
          <w:szCs w:val="24"/>
          <w:lang w:val="es-ES"/>
        </w:rPr>
        <w:t xml:space="preserve">ha tenido </w:t>
      </w:r>
      <w:r w:rsidR="00DA4C96" w:rsidRPr="009D7581">
        <w:rPr>
          <w:rFonts w:ascii="Tahoma" w:eastAsia="Calibri" w:hAnsi="Tahoma" w:cs="Tahoma"/>
          <w:szCs w:val="24"/>
          <w:lang w:val="es-ES"/>
        </w:rPr>
        <w:t>su buzón, obsequiando al ganador con el regalo que haya decidido.</w:t>
      </w:r>
      <w:r w:rsidR="005420C3">
        <w:rPr>
          <w:rFonts w:ascii="Tahoma" w:eastAsia="Calibri" w:hAnsi="Tahoma" w:cs="Tahoma"/>
          <w:szCs w:val="24"/>
          <w:lang w:val="es-ES"/>
        </w:rPr>
        <w:t xml:space="preserve"> Han participado más de un centenar de comercios.</w:t>
      </w:r>
      <w:bookmarkStart w:id="0" w:name="_GoBack"/>
      <w:bookmarkEnd w:id="0"/>
    </w:p>
    <w:p w:rsidR="00DA4C96" w:rsidRPr="00DA4C96" w:rsidRDefault="00DA4C96" w:rsidP="00DA4C96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sectPr w:rsidR="00DA4C96" w:rsidRPr="00DA4C96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420C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420C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D7F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20C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20C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E662E"/>
    <w:multiLevelType w:val="hybridMultilevel"/>
    <w:tmpl w:val="59CE9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F4802"/>
    <w:multiLevelType w:val="multilevel"/>
    <w:tmpl w:val="6EF652DE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687070"/>
    <w:multiLevelType w:val="hybridMultilevel"/>
    <w:tmpl w:val="90C45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FB35A1"/>
    <w:multiLevelType w:val="hybridMultilevel"/>
    <w:tmpl w:val="39A01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664D0"/>
    <w:multiLevelType w:val="hybridMultilevel"/>
    <w:tmpl w:val="8F6ED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A091B"/>
    <w:multiLevelType w:val="multilevel"/>
    <w:tmpl w:val="0E147C92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943FE3"/>
    <w:multiLevelType w:val="hybridMultilevel"/>
    <w:tmpl w:val="41AA8A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0BF153E"/>
    <w:multiLevelType w:val="hybridMultilevel"/>
    <w:tmpl w:val="1EAAAD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EE31F1"/>
    <w:multiLevelType w:val="hybridMultilevel"/>
    <w:tmpl w:val="4E2454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510464A"/>
    <w:multiLevelType w:val="multilevel"/>
    <w:tmpl w:val="75F81F8A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3300D8"/>
    <w:multiLevelType w:val="hybridMultilevel"/>
    <w:tmpl w:val="2C005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531ECD"/>
    <w:multiLevelType w:val="multilevel"/>
    <w:tmpl w:val="CC7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D87D20"/>
    <w:multiLevelType w:val="hybridMultilevel"/>
    <w:tmpl w:val="213EC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3897C6D"/>
    <w:multiLevelType w:val="hybridMultilevel"/>
    <w:tmpl w:val="67BC2C1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B57CC2"/>
    <w:multiLevelType w:val="hybridMultilevel"/>
    <w:tmpl w:val="E662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FFD3ED7"/>
    <w:multiLevelType w:val="hybridMultilevel"/>
    <w:tmpl w:val="E8E2B2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6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00E1FA3"/>
    <w:multiLevelType w:val="hybridMultilevel"/>
    <w:tmpl w:val="E1704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1CE4938"/>
    <w:multiLevelType w:val="hybridMultilevel"/>
    <w:tmpl w:val="62D63E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7"/>
  </w:num>
  <w:num w:numId="7">
    <w:abstractNumId w:val="12"/>
  </w:num>
  <w:num w:numId="8">
    <w:abstractNumId w:val="8"/>
  </w:num>
  <w:num w:numId="9">
    <w:abstractNumId w:val="20"/>
  </w:num>
  <w:num w:numId="10">
    <w:abstractNumId w:val="25"/>
  </w:num>
  <w:num w:numId="11">
    <w:abstractNumId w:val="33"/>
  </w:num>
  <w:num w:numId="12">
    <w:abstractNumId w:val="41"/>
  </w:num>
  <w:num w:numId="13">
    <w:abstractNumId w:val="50"/>
  </w:num>
  <w:num w:numId="14">
    <w:abstractNumId w:val="51"/>
  </w:num>
  <w:num w:numId="15">
    <w:abstractNumId w:val="9"/>
  </w:num>
  <w:num w:numId="16">
    <w:abstractNumId w:val="23"/>
  </w:num>
  <w:num w:numId="17">
    <w:abstractNumId w:val="44"/>
  </w:num>
  <w:num w:numId="18">
    <w:abstractNumId w:val="10"/>
  </w:num>
  <w:num w:numId="19">
    <w:abstractNumId w:val="14"/>
  </w:num>
  <w:num w:numId="20">
    <w:abstractNumId w:val="40"/>
  </w:num>
  <w:num w:numId="21">
    <w:abstractNumId w:val="11"/>
  </w:num>
  <w:num w:numId="22">
    <w:abstractNumId w:val="17"/>
  </w:num>
  <w:num w:numId="23">
    <w:abstractNumId w:val="18"/>
  </w:num>
  <w:num w:numId="24">
    <w:abstractNumId w:val="29"/>
  </w:num>
  <w:num w:numId="25">
    <w:abstractNumId w:val="7"/>
  </w:num>
  <w:num w:numId="26">
    <w:abstractNumId w:val="37"/>
  </w:num>
  <w:num w:numId="27">
    <w:abstractNumId w:val="35"/>
  </w:num>
  <w:num w:numId="28">
    <w:abstractNumId w:val="46"/>
  </w:num>
  <w:num w:numId="29">
    <w:abstractNumId w:val="27"/>
  </w:num>
  <w:num w:numId="30">
    <w:abstractNumId w:val="26"/>
  </w:num>
  <w:num w:numId="31">
    <w:abstractNumId w:val="36"/>
  </w:num>
  <w:num w:numId="32">
    <w:abstractNumId w:val="16"/>
  </w:num>
  <w:num w:numId="33">
    <w:abstractNumId w:val="42"/>
  </w:num>
  <w:num w:numId="34">
    <w:abstractNumId w:val="22"/>
  </w:num>
  <w:num w:numId="35">
    <w:abstractNumId w:val="19"/>
  </w:num>
  <w:num w:numId="36">
    <w:abstractNumId w:val="13"/>
  </w:num>
  <w:num w:numId="37">
    <w:abstractNumId w:val="38"/>
  </w:num>
  <w:num w:numId="38">
    <w:abstractNumId w:val="31"/>
  </w:num>
  <w:num w:numId="39">
    <w:abstractNumId w:val="15"/>
  </w:num>
  <w:num w:numId="40">
    <w:abstractNumId w:val="32"/>
  </w:num>
  <w:num w:numId="41">
    <w:abstractNumId w:val="24"/>
  </w:num>
  <w:num w:numId="42">
    <w:abstractNumId w:val="34"/>
  </w:num>
  <w:num w:numId="43">
    <w:abstractNumId w:val="30"/>
  </w:num>
  <w:num w:numId="44">
    <w:abstractNumId w:val="48"/>
  </w:num>
  <w:num w:numId="45">
    <w:abstractNumId w:val="49"/>
  </w:num>
  <w:num w:numId="46">
    <w:abstractNumId w:val="21"/>
  </w:num>
  <w:num w:numId="47">
    <w:abstractNumId w:val="39"/>
  </w:num>
  <w:num w:numId="48">
    <w:abstractNumId w:val="43"/>
  </w:num>
  <w:num w:numId="49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0C3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62-federacion-de-comercio-de-albacet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aguasdealbacete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convenios-descuento/item/8689-1-globalcaj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49563-2C12-4A4D-BBB0-F8C46F154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1655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2021-01-21T10:55:00Z</dcterms:created>
  <dcterms:modified xsi:type="dcterms:W3CDTF">2021-01-21T11:07:00Z</dcterms:modified>
</cp:coreProperties>
</file>