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4E77ED" w:rsidRDefault="004E77ED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4E77ED" w:rsidRDefault="00130070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  <w:r>
        <w:rPr>
          <w:rFonts w:ascii="Tahoma" w:hAnsi="Tahoma" w:cs="Tahoma"/>
          <w:color w:val="000000"/>
          <w:szCs w:val="24"/>
          <w:lang w:eastAsia="es-ES_tradnl"/>
        </w:rPr>
        <w:t>Albacete, 4</w:t>
      </w:r>
      <w:bookmarkStart w:id="0" w:name="_GoBack"/>
      <w:bookmarkEnd w:id="0"/>
      <w:r w:rsidR="00B21AC9">
        <w:rPr>
          <w:rFonts w:ascii="Tahoma" w:hAnsi="Tahoma" w:cs="Tahoma"/>
          <w:color w:val="000000"/>
          <w:szCs w:val="24"/>
          <w:lang w:eastAsia="es-ES_tradnl"/>
        </w:rPr>
        <w:t xml:space="preserve"> de febrero</w:t>
      </w:r>
      <w:r w:rsidR="004E77ED">
        <w:rPr>
          <w:rFonts w:ascii="Tahoma" w:hAnsi="Tahoma" w:cs="Tahoma"/>
          <w:color w:val="000000"/>
          <w:szCs w:val="24"/>
          <w:lang w:eastAsia="es-ES_tradnl"/>
        </w:rPr>
        <w:t xml:space="preserve"> </w:t>
      </w:r>
      <w:r w:rsidR="00B21AC9">
        <w:rPr>
          <w:rFonts w:ascii="Tahoma" w:hAnsi="Tahoma" w:cs="Tahoma"/>
          <w:color w:val="000000"/>
          <w:szCs w:val="24"/>
          <w:lang w:eastAsia="es-ES_tradnl"/>
        </w:rPr>
        <w:t xml:space="preserve">de </w:t>
      </w:r>
      <w:r w:rsidR="004E77ED">
        <w:rPr>
          <w:rFonts w:ascii="Tahoma" w:hAnsi="Tahoma" w:cs="Tahoma"/>
          <w:color w:val="000000"/>
          <w:szCs w:val="24"/>
          <w:lang w:eastAsia="es-ES_tradnl"/>
        </w:rPr>
        <w:t>2021</w:t>
      </w:r>
    </w:p>
    <w:p w:rsidR="00B21AC9" w:rsidRDefault="00B21AC9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B21AC9" w:rsidRDefault="00B21AC9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B21AC9" w:rsidRDefault="00B21AC9" w:rsidP="00B21AC9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  <w:r w:rsidRPr="00B21AC9">
        <w:rPr>
          <w:rFonts w:ascii="Tahoma" w:hAnsi="Tahoma" w:cs="Tahoma"/>
          <w:b/>
          <w:color w:val="000000"/>
          <w:sz w:val="32"/>
          <w:szCs w:val="32"/>
          <w:lang w:eastAsia="es-ES_tradnl"/>
        </w:rPr>
        <w:t>FEDA se suma a la Declaración Institucional en el Día Mundial contra el Cáncer</w:t>
      </w:r>
      <w:r>
        <w:rPr>
          <w:rFonts w:ascii="Tahoma" w:hAnsi="Tahoma" w:cs="Tahoma"/>
          <w:b/>
          <w:color w:val="000000"/>
          <w:sz w:val="32"/>
          <w:szCs w:val="32"/>
          <w:lang w:eastAsia="es-ES_tradnl"/>
        </w:rPr>
        <w:t xml:space="preserve"> que se celebra hoy día 4</w:t>
      </w:r>
    </w:p>
    <w:p w:rsidR="00610F77" w:rsidRDefault="00610F77" w:rsidP="00B21AC9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:rsidR="00610F77" w:rsidRPr="00610F77" w:rsidRDefault="00610F77" w:rsidP="00610F77">
      <w:pPr>
        <w:pStyle w:val="Prrafodelista"/>
        <w:numPr>
          <w:ilvl w:val="0"/>
          <w:numId w:val="6"/>
        </w:numPr>
        <w:jc w:val="center"/>
        <w:rPr>
          <w:rFonts w:ascii="Tahoma" w:hAnsi="Tahoma" w:cs="Tahoma"/>
          <w:b/>
          <w:color w:val="000000"/>
          <w:szCs w:val="24"/>
          <w:lang w:eastAsia="es-ES_tradnl"/>
        </w:rPr>
      </w:pPr>
      <w:r>
        <w:rPr>
          <w:rFonts w:ascii="Tahoma" w:hAnsi="Tahoma" w:cs="Tahoma"/>
          <w:b/>
          <w:color w:val="000000"/>
          <w:szCs w:val="24"/>
          <w:lang w:eastAsia="es-ES_tradnl"/>
        </w:rPr>
        <w:t>La AECC-Albacete ha sido recientemente Premio San Juan’2020-Edición Especial XXI “Contigo” a la Responsabilidad Social</w:t>
      </w:r>
    </w:p>
    <w:p w:rsidR="00B21AC9" w:rsidRDefault="00B21AC9" w:rsidP="00B21AC9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:rsidR="00B21AC9" w:rsidRDefault="00B21AC9" w:rsidP="00B21AC9">
      <w:pPr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:rsidR="00B21AC9" w:rsidRDefault="00B21AC9" w:rsidP="00B21AC9">
      <w:pPr>
        <w:rPr>
          <w:rFonts w:ascii="Tahoma" w:hAnsi="Tahoma" w:cs="Tahoma"/>
          <w:szCs w:val="24"/>
        </w:rPr>
      </w:pPr>
      <w:r>
        <w:rPr>
          <w:rFonts w:ascii="Tahoma" w:hAnsi="Tahoma" w:cs="Tahoma"/>
          <w:color w:val="000000"/>
          <w:szCs w:val="24"/>
          <w:lang w:eastAsia="es-ES_tradnl"/>
        </w:rPr>
        <w:t>FEDA se suma a la AECC en la Declaración Institucional en el Día Mundial contra el Cáncer, que se celebra hoy, día 4 de febrero. En esta fecha, FEDA manifiesta su</w:t>
      </w:r>
      <w:r w:rsidRPr="00B21AC9">
        <w:rPr>
          <w:rFonts w:ascii="Tahoma" w:hAnsi="Tahoma" w:cs="Tahoma"/>
          <w:b/>
          <w:bCs/>
          <w:szCs w:val="24"/>
        </w:rPr>
        <w:t xml:space="preserve"> solidaridad con todas las personas afectadas por esta enfermedad</w:t>
      </w:r>
      <w:r w:rsidRPr="00B21AC9">
        <w:rPr>
          <w:rFonts w:ascii="Tahoma" w:hAnsi="Tahoma" w:cs="Tahoma"/>
          <w:szCs w:val="24"/>
        </w:rPr>
        <w:t xml:space="preserve"> y declara su compromiso para contribuir a responder a sus necesidades y paliar el impacto de la pandemia en sus vidas.</w:t>
      </w:r>
    </w:p>
    <w:p w:rsidR="00610F77" w:rsidRDefault="00610F77" w:rsidP="00B21AC9">
      <w:pPr>
        <w:rPr>
          <w:rFonts w:ascii="Tahoma" w:hAnsi="Tahoma" w:cs="Tahoma"/>
          <w:szCs w:val="24"/>
        </w:rPr>
      </w:pPr>
    </w:p>
    <w:p w:rsidR="00610F77" w:rsidRPr="00610F77" w:rsidRDefault="00610F77" w:rsidP="00610F77">
      <w:pPr>
        <w:rPr>
          <w:rFonts w:ascii="Tahoma" w:hAnsi="Tahoma" w:cs="Tahoma"/>
          <w:szCs w:val="24"/>
        </w:rPr>
      </w:pPr>
      <w:r w:rsidRPr="00610F77">
        <w:rPr>
          <w:rFonts w:ascii="Tahoma" w:hAnsi="Tahoma" w:cs="Tahoma"/>
          <w:szCs w:val="24"/>
        </w:rPr>
        <w:t xml:space="preserve">En este sentido, </w:t>
      </w:r>
      <w:r>
        <w:rPr>
          <w:rFonts w:ascii="Tahoma" w:hAnsi="Tahoma" w:cs="Tahoma"/>
          <w:szCs w:val="24"/>
        </w:rPr>
        <w:t xml:space="preserve">considera necesarias </w:t>
      </w:r>
      <w:r w:rsidRPr="00610F77">
        <w:rPr>
          <w:rFonts w:ascii="Tahoma" w:hAnsi="Tahoma" w:cs="Tahoma"/>
          <w:szCs w:val="24"/>
        </w:rPr>
        <w:t>las acciones pertinentes para paliar su situación de especial vulnerabilidad, así como garantizar, en condiciones de equidad, los derechos de las personas con cáncer y sus familias.</w:t>
      </w:r>
    </w:p>
    <w:p w:rsidR="00610F77" w:rsidRPr="00610F77" w:rsidRDefault="00610F77" w:rsidP="00B21AC9">
      <w:pPr>
        <w:rPr>
          <w:rFonts w:ascii="Tahoma" w:hAnsi="Tahoma" w:cs="Tahoma"/>
          <w:szCs w:val="24"/>
        </w:rPr>
      </w:pPr>
    </w:p>
    <w:p w:rsidR="00610F77" w:rsidRDefault="00610F77" w:rsidP="00610F77">
      <w:pPr>
        <w:rPr>
          <w:rFonts w:ascii="Tahoma" w:hAnsi="Tahoma" w:cs="Tahoma"/>
          <w:szCs w:val="24"/>
        </w:rPr>
      </w:pPr>
      <w:r w:rsidRPr="00610F77">
        <w:rPr>
          <w:rFonts w:ascii="Tahoma" w:hAnsi="Tahoma" w:cs="Tahoma"/>
          <w:szCs w:val="24"/>
        </w:rPr>
        <w:t xml:space="preserve">Asimismo, </w:t>
      </w:r>
      <w:r w:rsidRPr="00610F77">
        <w:rPr>
          <w:rFonts w:ascii="Tahoma" w:hAnsi="Tahoma" w:cs="Tahoma"/>
          <w:b/>
          <w:bCs/>
          <w:szCs w:val="24"/>
        </w:rPr>
        <w:t>manifiesta su apoyo a la investigación del cáncer</w:t>
      </w:r>
      <w:r w:rsidRPr="00610F77">
        <w:rPr>
          <w:rFonts w:ascii="Tahoma" w:hAnsi="Tahoma" w:cs="Tahoma"/>
          <w:szCs w:val="24"/>
        </w:rPr>
        <w:t xml:space="preserve">, como instrumento imprescindible en la lucha contra esta enfermedad, y traslada su </w:t>
      </w:r>
      <w:r w:rsidRPr="00610F77">
        <w:rPr>
          <w:rFonts w:ascii="Tahoma" w:hAnsi="Tahoma" w:cs="Tahoma"/>
          <w:b/>
          <w:bCs/>
          <w:szCs w:val="24"/>
        </w:rPr>
        <w:t>reconocimiento a todas las asociaciones y entidades que están acompañando a las personas afectadas por el cáncer</w:t>
      </w:r>
      <w:r w:rsidRPr="00610F77">
        <w:rPr>
          <w:rFonts w:ascii="Tahoma" w:hAnsi="Tahoma" w:cs="Tahoma"/>
          <w:szCs w:val="24"/>
        </w:rPr>
        <w:t xml:space="preserve"> por su compromiso y labor continuada.</w:t>
      </w:r>
    </w:p>
    <w:p w:rsidR="00610F77" w:rsidRDefault="00610F77" w:rsidP="00610F77">
      <w:pPr>
        <w:rPr>
          <w:rFonts w:ascii="Tahoma" w:hAnsi="Tahoma" w:cs="Tahoma"/>
          <w:szCs w:val="24"/>
        </w:rPr>
      </w:pPr>
    </w:p>
    <w:p w:rsidR="00610F77" w:rsidRPr="00610F77" w:rsidRDefault="00610F77" w:rsidP="00610F77">
      <w:pPr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>Atendiendo a datos de la AECC de Albacete, e</w:t>
      </w:r>
      <w:r w:rsidRPr="00610F77">
        <w:rPr>
          <w:rFonts w:ascii="Tahoma" w:hAnsi="Tahoma" w:cs="Tahoma"/>
          <w:szCs w:val="24"/>
        </w:rPr>
        <w:t xml:space="preserve">l cáncer se erige como el principal problema </w:t>
      </w:r>
      <w:r w:rsidRPr="00610F77">
        <w:rPr>
          <w:rFonts w:ascii="Tahoma" w:hAnsi="Tahoma" w:cs="Tahoma"/>
          <w:szCs w:val="24"/>
        </w:rPr>
        <w:t>socio sanitario</w:t>
      </w:r>
      <w:r w:rsidRPr="00610F77">
        <w:rPr>
          <w:rFonts w:ascii="Tahoma" w:hAnsi="Tahoma" w:cs="Tahoma"/>
          <w:szCs w:val="24"/>
        </w:rPr>
        <w:t xml:space="preserve"> a nivel mundial. Es la segunda causa de muerte a nivel mundial</w:t>
      </w:r>
      <w:r w:rsidRPr="00610F77">
        <w:rPr>
          <w:rStyle w:val="Refdenotaalpie"/>
          <w:rFonts w:ascii="Tahoma" w:hAnsi="Tahoma" w:cs="Tahoma"/>
          <w:szCs w:val="24"/>
        </w:rPr>
        <w:footnoteReference w:id="1"/>
      </w:r>
      <w:r w:rsidRPr="00610F77">
        <w:rPr>
          <w:rFonts w:ascii="Tahoma" w:hAnsi="Tahoma" w:cs="Tahoma"/>
          <w:szCs w:val="24"/>
        </w:rPr>
        <w:t xml:space="preserve"> y se proyecta un crecimiento de más del 30% de nuevos casos para el 2030</w:t>
      </w:r>
      <w:r w:rsidRPr="00610F77">
        <w:rPr>
          <w:rStyle w:val="Refdenotaalpie"/>
          <w:rFonts w:ascii="Tahoma" w:hAnsi="Tahoma" w:cs="Tahoma"/>
          <w:szCs w:val="24"/>
        </w:rPr>
        <w:footnoteReference w:id="2"/>
      </w:r>
      <w:r w:rsidRPr="00610F77">
        <w:rPr>
          <w:rFonts w:ascii="Tahoma" w:hAnsi="Tahoma" w:cs="Tahoma"/>
          <w:szCs w:val="24"/>
        </w:rPr>
        <w:t>. Actualmente, en nuestro país, 1 de cada 2 hombres y 1 de cada 3 mujeres serán diagnosticados de cáncer a lo largo de su vida</w:t>
      </w:r>
      <w:r w:rsidRPr="00610F77">
        <w:rPr>
          <w:rStyle w:val="Refdenotaalpie"/>
          <w:rFonts w:ascii="Tahoma" w:hAnsi="Tahoma" w:cs="Tahoma"/>
          <w:szCs w:val="24"/>
        </w:rPr>
        <w:footnoteReference w:id="3"/>
      </w:r>
      <w:r w:rsidRPr="00610F77">
        <w:rPr>
          <w:rFonts w:ascii="Tahoma" w:hAnsi="Tahoma" w:cs="Tahoma"/>
          <w:szCs w:val="24"/>
        </w:rPr>
        <w:t>.</w:t>
      </w:r>
      <w:r w:rsidRPr="00610F77">
        <w:rPr>
          <w:rFonts w:ascii="Tahoma" w:hAnsi="Tahoma" w:cs="Tahoma"/>
        </w:rPr>
        <w:t xml:space="preserve"> </w:t>
      </w:r>
      <w:r w:rsidRPr="00610F77">
        <w:rPr>
          <w:rFonts w:ascii="Tahoma" w:hAnsi="Tahoma" w:cs="Tahoma"/>
          <w:szCs w:val="24"/>
        </w:rPr>
        <w:t>Se estima que esta enfermedad afecta a 1,5 millones de personas en España y se diagnostican en nuestro país casi 280.000</w:t>
      </w:r>
      <w:r w:rsidRPr="00610F77">
        <w:rPr>
          <w:rStyle w:val="Refdenotaalpie"/>
          <w:rFonts w:ascii="Tahoma" w:hAnsi="Tahoma" w:cs="Tahoma"/>
          <w:szCs w:val="24"/>
        </w:rPr>
        <w:footnoteReference w:id="4"/>
      </w:r>
      <w:r w:rsidRPr="00610F77">
        <w:rPr>
          <w:rFonts w:ascii="Tahoma" w:hAnsi="Tahoma" w:cs="Tahoma"/>
          <w:szCs w:val="24"/>
        </w:rPr>
        <w:t xml:space="preserve"> nuevos casos cada año.</w:t>
      </w:r>
    </w:p>
    <w:p w:rsidR="00610F77" w:rsidRPr="00610F77" w:rsidRDefault="00610F77" w:rsidP="00610F77">
      <w:pPr>
        <w:rPr>
          <w:rFonts w:ascii="Tahoma" w:eastAsia="Calibri" w:hAnsi="Tahoma" w:cs="Tahoma"/>
        </w:rPr>
      </w:pPr>
    </w:p>
    <w:p w:rsidR="00610F77" w:rsidRDefault="00610F77" w:rsidP="00610F77">
      <w:pPr>
        <w:rPr>
          <w:rFonts w:ascii="Tahoma" w:eastAsia="Calibri" w:hAnsi="Tahoma" w:cs="Tahoma"/>
          <w:szCs w:val="24"/>
        </w:rPr>
      </w:pPr>
    </w:p>
    <w:p w:rsidR="00610F77" w:rsidRDefault="00610F77" w:rsidP="00610F77">
      <w:pPr>
        <w:rPr>
          <w:rFonts w:ascii="Tahoma" w:eastAsia="Calibri" w:hAnsi="Tahoma" w:cs="Tahoma"/>
          <w:szCs w:val="24"/>
        </w:rPr>
      </w:pPr>
    </w:p>
    <w:p w:rsidR="00610F77" w:rsidRDefault="00610F77" w:rsidP="00610F77">
      <w:pPr>
        <w:rPr>
          <w:rFonts w:ascii="Tahoma" w:eastAsia="Calibri" w:hAnsi="Tahoma" w:cs="Tahoma"/>
          <w:szCs w:val="24"/>
        </w:rPr>
      </w:pPr>
    </w:p>
    <w:p w:rsidR="00610F77" w:rsidRDefault="00610F77" w:rsidP="00610F77">
      <w:pPr>
        <w:rPr>
          <w:rFonts w:ascii="Tahoma" w:eastAsia="Calibri" w:hAnsi="Tahoma" w:cs="Tahoma"/>
          <w:szCs w:val="24"/>
        </w:rPr>
      </w:pPr>
    </w:p>
    <w:p w:rsidR="00610F77" w:rsidRDefault="00610F77" w:rsidP="00610F77">
      <w:pPr>
        <w:rPr>
          <w:rFonts w:ascii="Tahoma" w:eastAsia="Calibri" w:hAnsi="Tahoma" w:cs="Tahoma"/>
          <w:szCs w:val="24"/>
        </w:rPr>
      </w:pPr>
    </w:p>
    <w:p w:rsidR="00610F77" w:rsidRPr="00610F77" w:rsidRDefault="00610F77" w:rsidP="00610F77">
      <w:pPr>
        <w:rPr>
          <w:rFonts w:ascii="Tahoma" w:eastAsia="Calibri" w:hAnsi="Tahoma" w:cs="Tahoma"/>
          <w:szCs w:val="24"/>
        </w:rPr>
      </w:pPr>
      <w:r w:rsidRPr="00610F77">
        <w:rPr>
          <w:rFonts w:ascii="Tahoma" w:eastAsia="Calibri" w:hAnsi="Tahoma" w:cs="Tahoma"/>
          <w:szCs w:val="24"/>
        </w:rPr>
        <w:t xml:space="preserve">La crisis provocada por la pandemia de la Covid-19 no ha hecho sino agravar la situación de fragilidad social y sanitaria de las </w:t>
      </w:r>
      <w:r w:rsidRPr="00610F77">
        <w:rPr>
          <w:rFonts w:ascii="Tahoma" w:eastAsia="Calibri" w:hAnsi="Tahoma" w:cs="Tahoma"/>
          <w:b/>
          <w:bCs/>
          <w:szCs w:val="24"/>
        </w:rPr>
        <w:t>personas con cáncer y sus familias</w:t>
      </w:r>
      <w:r>
        <w:rPr>
          <w:rFonts w:ascii="Tahoma" w:eastAsia="Calibri" w:hAnsi="Tahoma" w:cs="Tahoma"/>
          <w:szCs w:val="24"/>
        </w:rPr>
        <w:t xml:space="preserve">, </w:t>
      </w:r>
      <w:r w:rsidRPr="00610F77">
        <w:rPr>
          <w:rFonts w:ascii="Tahoma" w:eastAsia="Calibri" w:hAnsi="Tahoma" w:cs="Tahoma"/>
          <w:szCs w:val="24"/>
        </w:rPr>
        <w:t xml:space="preserve">como </w:t>
      </w:r>
      <w:r w:rsidRPr="00610F77">
        <w:rPr>
          <w:rFonts w:ascii="Tahoma" w:eastAsia="Calibri" w:hAnsi="Tahoma" w:cs="Tahoma"/>
          <w:b/>
          <w:bCs/>
          <w:szCs w:val="24"/>
        </w:rPr>
        <w:t>colectivo doblemente vulnerable</w:t>
      </w:r>
      <w:r w:rsidRPr="00610F77">
        <w:rPr>
          <w:rFonts w:ascii="Tahoma" w:eastAsia="Calibri" w:hAnsi="Tahoma" w:cs="Tahoma"/>
          <w:szCs w:val="24"/>
        </w:rPr>
        <w:t xml:space="preserve">, por el cáncer y por la Covid-19. </w:t>
      </w:r>
    </w:p>
    <w:p w:rsidR="00610F77" w:rsidRDefault="00610F77" w:rsidP="00610F77">
      <w:pPr>
        <w:rPr>
          <w:rFonts w:asciiTheme="minorHAnsi" w:eastAsia="Calibri" w:hAnsiTheme="minorHAnsi" w:cstheme="minorHAnsi"/>
          <w:szCs w:val="24"/>
        </w:rPr>
      </w:pPr>
    </w:p>
    <w:p w:rsidR="00610F77" w:rsidRPr="00610F77" w:rsidRDefault="00610F77" w:rsidP="00610F77">
      <w:pPr>
        <w:rPr>
          <w:rFonts w:ascii="Tahoma" w:eastAsia="Calibri" w:hAnsi="Tahoma" w:cs="Tahoma"/>
          <w:szCs w:val="24"/>
        </w:rPr>
      </w:pPr>
      <w:r w:rsidRPr="00610F77">
        <w:rPr>
          <w:rFonts w:ascii="Tahoma" w:eastAsia="Calibri" w:hAnsi="Tahoma" w:cs="Tahoma"/>
          <w:szCs w:val="24"/>
        </w:rPr>
        <w:t>Las personas con cáncer y sus familias están viviendo diversos y severos impactos de esta crisis:</w:t>
      </w:r>
    </w:p>
    <w:p w:rsidR="00610F77" w:rsidRPr="00610F77" w:rsidRDefault="00610F77" w:rsidP="00610F77">
      <w:pPr>
        <w:rPr>
          <w:rFonts w:ascii="Tahoma" w:eastAsia="Calibri" w:hAnsi="Tahoma" w:cs="Tahoma"/>
          <w:szCs w:val="24"/>
        </w:rPr>
      </w:pPr>
    </w:p>
    <w:p w:rsidR="00610F77" w:rsidRPr="00610F77" w:rsidRDefault="00610F77" w:rsidP="00610F77">
      <w:pPr>
        <w:pStyle w:val="Prrafodelista"/>
        <w:numPr>
          <w:ilvl w:val="0"/>
          <w:numId w:val="7"/>
        </w:numPr>
        <w:spacing w:after="0" w:line="240" w:lineRule="auto"/>
        <w:ind w:left="360"/>
        <w:contextualSpacing/>
        <w:jc w:val="both"/>
        <w:rPr>
          <w:rFonts w:ascii="Tahoma" w:hAnsi="Tahoma" w:cs="Tahoma"/>
          <w:b/>
          <w:iCs/>
          <w:sz w:val="24"/>
          <w:szCs w:val="24"/>
        </w:rPr>
      </w:pPr>
      <w:r w:rsidRPr="00610F77">
        <w:rPr>
          <w:rFonts w:ascii="Tahoma" w:hAnsi="Tahoma" w:cs="Tahoma"/>
          <w:b/>
          <w:iCs/>
          <w:sz w:val="24"/>
          <w:szCs w:val="24"/>
        </w:rPr>
        <w:t xml:space="preserve">Impacto sanitario: </w:t>
      </w:r>
      <w:r w:rsidRPr="00610F77">
        <w:rPr>
          <w:rFonts w:ascii="Tahoma" w:hAnsi="Tahoma" w:cs="Tahoma"/>
          <w:iCs/>
          <w:sz w:val="24"/>
          <w:szCs w:val="24"/>
        </w:rPr>
        <w:t>pruebas diagnósticas y tratamientos demorados, incertidumbre y necesidad de información que ayude a reducir el miedo al contagio.</w:t>
      </w:r>
    </w:p>
    <w:p w:rsidR="00610F77" w:rsidRPr="00610F77" w:rsidRDefault="00610F77" w:rsidP="00610F77">
      <w:pPr>
        <w:pStyle w:val="Prrafodelista"/>
        <w:spacing w:after="0" w:line="240" w:lineRule="auto"/>
        <w:ind w:left="360"/>
        <w:contextualSpacing/>
        <w:jc w:val="both"/>
        <w:rPr>
          <w:rFonts w:ascii="Tahoma" w:hAnsi="Tahoma" w:cs="Tahoma"/>
          <w:b/>
          <w:iCs/>
          <w:sz w:val="24"/>
          <w:szCs w:val="24"/>
        </w:rPr>
      </w:pPr>
    </w:p>
    <w:p w:rsidR="00610F77" w:rsidRPr="00610F77" w:rsidRDefault="00610F77" w:rsidP="00610F77">
      <w:pPr>
        <w:pStyle w:val="Prrafodelista"/>
        <w:numPr>
          <w:ilvl w:val="0"/>
          <w:numId w:val="7"/>
        </w:numPr>
        <w:spacing w:after="0" w:line="240" w:lineRule="auto"/>
        <w:ind w:left="360"/>
        <w:contextualSpacing/>
        <w:jc w:val="both"/>
        <w:rPr>
          <w:rFonts w:ascii="Tahoma" w:hAnsi="Tahoma" w:cs="Tahoma"/>
          <w:bCs/>
          <w:iCs/>
          <w:sz w:val="24"/>
          <w:szCs w:val="24"/>
        </w:rPr>
      </w:pPr>
      <w:r w:rsidRPr="00610F77">
        <w:rPr>
          <w:rFonts w:ascii="Tahoma" w:hAnsi="Tahoma" w:cs="Tahoma"/>
          <w:b/>
          <w:iCs/>
          <w:sz w:val="24"/>
          <w:szCs w:val="24"/>
        </w:rPr>
        <w:t xml:space="preserve">Impacto emocional y social </w:t>
      </w:r>
      <w:r w:rsidRPr="00610F77">
        <w:rPr>
          <w:rFonts w:ascii="Tahoma" w:hAnsi="Tahoma" w:cs="Tahoma"/>
          <w:iCs/>
          <w:sz w:val="24"/>
          <w:szCs w:val="24"/>
        </w:rPr>
        <w:t>(personal y familiar): soledad no deseada, ansiedad por retrasos en tratamientos y/o pruebas diagnósticas, miedo al contagio y a volver a los hospitales, sufrimiento ante las dificultades para acompañar y ser acompañados</w:t>
      </w:r>
      <w:r w:rsidRPr="00610F77">
        <w:rPr>
          <w:rFonts w:ascii="Tahoma" w:hAnsi="Tahoma" w:cs="Tahoma"/>
          <w:sz w:val="24"/>
          <w:szCs w:val="24"/>
        </w:rPr>
        <w:t xml:space="preserve"> en el proceso de final de la vida y por el agravamiento de las dificultades económicas y laborales. </w:t>
      </w:r>
    </w:p>
    <w:p w:rsidR="00610F77" w:rsidRDefault="00610F77" w:rsidP="00610F77"/>
    <w:p w:rsidR="00610F77" w:rsidRPr="00610F77" w:rsidRDefault="00610F77" w:rsidP="00610F77">
      <w:pPr>
        <w:rPr>
          <w:rFonts w:ascii="Tahoma" w:hAnsi="Tahoma" w:cs="Tahoma"/>
          <w:szCs w:val="24"/>
        </w:rPr>
      </w:pPr>
    </w:p>
    <w:p w:rsidR="00610F77" w:rsidRDefault="00610F77" w:rsidP="00B21AC9">
      <w:pPr>
        <w:rPr>
          <w:rFonts w:ascii="Tahoma" w:hAnsi="Tahoma" w:cs="Tahoma"/>
          <w:szCs w:val="24"/>
        </w:rPr>
      </w:pPr>
    </w:p>
    <w:p w:rsidR="00B21AC9" w:rsidRDefault="00B21AC9" w:rsidP="00B21AC9">
      <w:pPr>
        <w:rPr>
          <w:rFonts w:ascii="Tahoma" w:hAnsi="Tahoma" w:cs="Tahoma"/>
          <w:szCs w:val="24"/>
        </w:rPr>
      </w:pPr>
    </w:p>
    <w:p w:rsidR="00B21AC9" w:rsidRPr="00B21AC9" w:rsidRDefault="00B21AC9" w:rsidP="00B21AC9">
      <w:pPr>
        <w:rPr>
          <w:rFonts w:ascii="Tahoma" w:hAnsi="Tahoma" w:cs="Tahoma"/>
          <w:szCs w:val="24"/>
        </w:rPr>
      </w:pPr>
    </w:p>
    <w:p w:rsidR="00B21AC9" w:rsidRPr="00B21AC9" w:rsidRDefault="00B21AC9" w:rsidP="00B21AC9">
      <w:pPr>
        <w:rPr>
          <w:rFonts w:ascii="Tahoma" w:hAnsi="Tahoma" w:cs="Tahoma"/>
          <w:color w:val="000000"/>
          <w:szCs w:val="24"/>
          <w:lang w:eastAsia="es-ES_tradnl"/>
        </w:rPr>
      </w:pPr>
    </w:p>
    <w:sectPr w:rsidR="00B21AC9" w:rsidRPr="00B21AC9" w:rsidSect="000D4D85">
      <w:headerReference w:type="default" r:id="rId8"/>
      <w:footerReference w:type="even" r:id="rId9"/>
      <w:footerReference w:type="default" r:id="rId10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130070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130070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13007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13007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13007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13007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13007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  <w:footnote w:id="1">
    <w:p w:rsidR="00610F77" w:rsidRPr="005D5EF1" w:rsidRDefault="00610F77" w:rsidP="00610F77">
      <w:pPr>
        <w:pStyle w:val="Textonotapie"/>
        <w:rPr>
          <w:rFonts w:asciiTheme="minorHAnsi" w:hAnsiTheme="minorHAnsi" w:cstheme="minorHAnsi"/>
          <w:sz w:val="16"/>
          <w:szCs w:val="16"/>
        </w:rPr>
      </w:pPr>
      <w:r w:rsidRPr="005D5EF1">
        <w:rPr>
          <w:rStyle w:val="Refdenotaalpie"/>
          <w:rFonts w:asciiTheme="minorHAnsi" w:hAnsiTheme="minorHAnsi" w:cstheme="minorHAnsi"/>
          <w:sz w:val="16"/>
          <w:szCs w:val="16"/>
        </w:rPr>
        <w:footnoteRef/>
      </w:r>
      <w:r w:rsidRPr="00575ACC">
        <w:rPr>
          <w:rFonts w:asciiTheme="minorHAnsi" w:hAnsiTheme="minorHAnsi" w:cstheme="minorHAnsi"/>
          <w:sz w:val="16"/>
          <w:szCs w:val="16"/>
          <w:lang w:val="en-US"/>
        </w:rPr>
        <w:t xml:space="preserve"> World Health Organization. Cancer. Fact Sheet. Disponible en: https://www.who.int/news-room/fact-sheets/detail/cancer (2) Cancer Tomorrow. International Agency for Research on Cancer. </w:t>
      </w:r>
      <w:r w:rsidRPr="005D5EF1">
        <w:rPr>
          <w:rFonts w:asciiTheme="minorHAnsi" w:hAnsiTheme="minorHAnsi" w:cstheme="minorHAnsi"/>
          <w:sz w:val="16"/>
          <w:szCs w:val="16"/>
        </w:rPr>
        <w:t xml:space="preserve">Disponible en: </w:t>
      </w:r>
    </w:p>
  </w:footnote>
  <w:footnote w:id="2">
    <w:p w:rsidR="00610F77" w:rsidRPr="005D5EF1" w:rsidRDefault="00610F77" w:rsidP="00610F77">
      <w:pPr>
        <w:pStyle w:val="Textonotapie"/>
        <w:rPr>
          <w:rFonts w:asciiTheme="minorHAnsi" w:hAnsiTheme="minorHAnsi" w:cstheme="minorHAnsi"/>
          <w:sz w:val="16"/>
          <w:szCs w:val="16"/>
        </w:rPr>
      </w:pPr>
      <w:r w:rsidRPr="005D5EF1">
        <w:rPr>
          <w:rFonts w:asciiTheme="minorHAnsi" w:hAnsiTheme="minorHAnsi" w:cstheme="minorHAnsi"/>
          <w:sz w:val="16"/>
          <w:szCs w:val="16"/>
        </w:rPr>
        <w:footnoteRef/>
      </w:r>
      <w:r w:rsidRPr="005D5EF1">
        <w:rPr>
          <w:rFonts w:asciiTheme="minorHAnsi" w:hAnsiTheme="minorHAnsi" w:cstheme="minorHAnsi"/>
          <w:sz w:val="16"/>
          <w:szCs w:val="16"/>
        </w:rPr>
        <w:t xml:space="preserve"> https://gco.iarc.fr/tomorrow/graphic-isotype?type=0&amp;population=900&amp;mode=population&amp;sex=0&amp;cancer=39&amp;age_group=value&amp;apc_male=0&amp;apc_female=0</w:t>
      </w:r>
    </w:p>
  </w:footnote>
  <w:footnote w:id="3">
    <w:p w:rsidR="00610F77" w:rsidRPr="005D5EF1" w:rsidRDefault="00610F77" w:rsidP="00610F77">
      <w:pPr>
        <w:pStyle w:val="Textonotapie"/>
        <w:rPr>
          <w:rFonts w:asciiTheme="minorHAnsi" w:hAnsiTheme="minorHAnsi" w:cstheme="minorHAnsi"/>
          <w:sz w:val="16"/>
          <w:szCs w:val="16"/>
        </w:rPr>
      </w:pPr>
      <w:r w:rsidRPr="005D5EF1">
        <w:rPr>
          <w:rFonts w:asciiTheme="minorHAnsi" w:hAnsiTheme="minorHAnsi" w:cstheme="minorHAnsi"/>
          <w:sz w:val="16"/>
          <w:szCs w:val="16"/>
        </w:rPr>
        <w:footnoteRef/>
      </w:r>
      <w:r w:rsidRPr="005D5EF1">
        <w:rPr>
          <w:rFonts w:asciiTheme="minorHAnsi" w:hAnsiTheme="minorHAnsi" w:cstheme="minorHAnsi"/>
          <w:sz w:val="16"/>
          <w:szCs w:val="16"/>
        </w:rPr>
        <w:t xml:space="preserve">  Las cifras del cáncer en España 2019. Sociedad Española de Oncología Médica.</w:t>
      </w:r>
    </w:p>
    <w:p w:rsidR="00610F77" w:rsidRPr="005D5EF1" w:rsidRDefault="00610F77" w:rsidP="00610F77">
      <w:pPr>
        <w:pStyle w:val="Textonotapie"/>
        <w:rPr>
          <w:rFonts w:asciiTheme="minorHAnsi" w:hAnsiTheme="minorHAnsi" w:cstheme="minorHAnsi"/>
          <w:sz w:val="16"/>
          <w:szCs w:val="16"/>
        </w:rPr>
      </w:pPr>
      <w:r w:rsidRPr="005D5EF1">
        <w:rPr>
          <w:rFonts w:asciiTheme="minorHAnsi" w:hAnsiTheme="minorHAnsi" w:cstheme="minorHAnsi"/>
          <w:sz w:val="16"/>
          <w:szCs w:val="16"/>
        </w:rPr>
        <w:t>Disponible en: https://seom.org/dmcancer/wp-content/uploads/2019/Informe-SEOM-cifras-cancer-2019.pdf</w:t>
      </w:r>
    </w:p>
  </w:footnote>
  <w:footnote w:id="4">
    <w:p w:rsidR="00610F77" w:rsidRPr="005D5EF1" w:rsidRDefault="00610F77" w:rsidP="00610F77">
      <w:pPr>
        <w:pStyle w:val="Textonotapie"/>
        <w:rPr>
          <w:rFonts w:asciiTheme="minorHAnsi" w:hAnsiTheme="minorHAnsi" w:cstheme="minorHAnsi"/>
          <w:sz w:val="16"/>
          <w:szCs w:val="16"/>
        </w:rPr>
      </w:pPr>
      <w:r w:rsidRPr="005D5EF1">
        <w:rPr>
          <w:rFonts w:asciiTheme="minorHAnsi" w:hAnsiTheme="minorHAnsi" w:cstheme="minorHAnsi"/>
          <w:sz w:val="16"/>
          <w:szCs w:val="16"/>
        </w:rPr>
        <w:footnoteRef/>
      </w:r>
      <w:r w:rsidRPr="005D5EF1">
        <w:rPr>
          <w:rFonts w:asciiTheme="minorHAnsi" w:hAnsiTheme="minorHAnsi" w:cstheme="minorHAnsi"/>
          <w:sz w:val="16"/>
          <w:szCs w:val="16"/>
        </w:rPr>
        <w:t xml:space="preserve"> Observatorio AECC (Datos a 03 de diciembre de 2020). </w:t>
      </w:r>
      <w:r w:rsidRPr="005D5EF1">
        <w:rPr>
          <w:rFonts w:asciiTheme="minorHAnsi" w:hAnsiTheme="minorHAnsi" w:cstheme="minorHAnsi"/>
          <w:i/>
          <w:iCs/>
          <w:sz w:val="16"/>
          <w:szCs w:val="16"/>
        </w:rPr>
        <w:t>Disponible en:</w:t>
      </w:r>
      <w:r w:rsidRPr="005D5EF1">
        <w:rPr>
          <w:rFonts w:asciiTheme="minorHAnsi" w:hAnsiTheme="minorHAnsi" w:cstheme="minorHAnsi"/>
          <w:sz w:val="16"/>
          <w:szCs w:val="16"/>
        </w:rPr>
        <w:t xml:space="preserve"> https://app.powerbi.com/view?r=eyJrIjoiNDVmNjdlOTQtOTE5Zi00YmJmLWJhMjgtNTgxMGJkM2FjYTE3IiwidCI6ImJjYTNjYTJlLTYyNGMtNDNhYS05MTgxLWY2N2YxYzI3OTAyOSIsImMiOjh9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070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6BC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EA7FF-DBFE-4C50-B4EF-4D81D56F0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2485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2019-03-27T09:39:00Z</cp:lastPrinted>
  <dcterms:created xsi:type="dcterms:W3CDTF">2021-02-01T17:15:00Z</dcterms:created>
  <dcterms:modified xsi:type="dcterms:W3CDTF">2021-02-01T17:15:00Z</dcterms:modified>
</cp:coreProperties>
</file>