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77104C" w14:textId="77777777" w:rsidR="00D170AA" w:rsidRDefault="00D170AA" w:rsidP="006426A1">
      <w:pPr>
        <w:tabs>
          <w:tab w:val="left" w:pos="2055"/>
          <w:tab w:val="left" w:pos="3180"/>
          <w:tab w:val="left" w:pos="3255"/>
        </w:tabs>
        <w:jc w:val="right"/>
        <w:rPr>
          <w:rFonts w:ascii="Tahoma" w:hAnsi="Tahoma" w:cs="Tahoma"/>
          <w:bCs/>
          <w:szCs w:val="24"/>
        </w:rPr>
      </w:pPr>
    </w:p>
    <w:p w14:paraId="53B9074E" w14:textId="77777777" w:rsidR="0051771D" w:rsidRDefault="0051771D" w:rsidP="004E77ED">
      <w:pPr>
        <w:jc w:val="right"/>
        <w:rPr>
          <w:rFonts w:ascii="Tahoma" w:hAnsi="Tahoma" w:cs="Tahoma"/>
          <w:color w:val="000000"/>
          <w:sz w:val="22"/>
          <w:szCs w:val="22"/>
          <w:lang w:eastAsia="es-ES_tradnl"/>
        </w:rPr>
      </w:pPr>
    </w:p>
    <w:p w14:paraId="7C5A110D" w14:textId="77777777" w:rsidR="004E77ED" w:rsidRDefault="004938E6" w:rsidP="004E77ED">
      <w:pPr>
        <w:jc w:val="right"/>
        <w:rPr>
          <w:rFonts w:ascii="Tahoma" w:hAnsi="Tahoma" w:cs="Tahoma"/>
          <w:color w:val="000000"/>
          <w:sz w:val="22"/>
          <w:szCs w:val="22"/>
          <w:lang w:eastAsia="es-ES_tradnl"/>
        </w:rPr>
      </w:pPr>
      <w:r w:rsidRPr="007C532B">
        <w:rPr>
          <w:rFonts w:ascii="Tahoma" w:hAnsi="Tahoma" w:cs="Tahoma"/>
          <w:color w:val="000000"/>
          <w:sz w:val="22"/>
          <w:szCs w:val="22"/>
          <w:lang w:eastAsia="es-ES_tradnl"/>
        </w:rPr>
        <w:t xml:space="preserve">Albacete, </w:t>
      </w:r>
      <w:r w:rsidR="0051771D">
        <w:rPr>
          <w:rFonts w:ascii="Tahoma" w:hAnsi="Tahoma" w:cs="Tahoma"/>
          <w:color w:val="000000"/>
          <w:sz w:val="22"/>
          <w:szCs w:val="22"/>
          <w:lang w:eastAsia="es-ES_tradnl"/>
        </w:rPr>
        <w:t>2</w:t>
      </w:r>
      <w:r w:rsidR="00BF3F8F">
        <w:rPr>
          <w:rFonts w:ascii="Tahoma" w:hAnsi="Tahoma" w:cs="Tahoma"/>
          <w:color w:val="000000"/>
          <w:sz w:val="22"/>
          <w:szCs w:val="22"/>
          <w:lang w:eastAsia="es-ES_tradnl"/>
        </w:rPr>
        <w:t>4</w:t>
      </w:r>
      <w:r w:rsidR="00C27D91" w:rsidRPr="007C532B">
        <w:rPr>
          <w:rFonts w:ascii="Tahoma" w:hAnsi="Tahoma" w:cs="Tahoma"/>
          <w:color w:val="000000"/>
          <w:sz w:val="22"/>
          <w:szCs w:val="22"/>
          <w:lang w:eastAsia="es-ES_tradnl"/>
        </w:rPr>
        <w:t xml:space="preserve"> de marzo</w:t>
      </w:r>
      <w:r w:rsidR="004E77ED" w:rsidRPr="007C532B">
        <w:rPr>
          <w:rFonts w:ascii="Tahoma" w:hAnsi="Tahoma" w:cs="Tahoma"/>
          <w:color w:val="000000"/>
          <w:sz w:val="22"/>
          <w:szCs w:val="22"/>
          <w:lang w:eastAsia="es-ES_tradnl"/>
        </w:rPr>
        <w:t xml:space="preserve"> </w:t>
      </w:r>
      <w:r w:rsidR="00B21AC9" w:rsidRPr="007C532B">
        <w:rPr>
          <w:rFonts w:ascii="Tahoma" w:hAnsi="Tahoma" w:cs="Tahoma"/>
          <w:color w:val="000000"/>
          <w:sz w:val="22"/>
          <w:szCs w:val="22"/>
          <w:lang w:eastAsia="es-ES_tradnl"/>
        </w:rPr>
        <w:t xml:space="preserve">de </w:t>
      </w:r>
      <w:r w:rsidR="004E77ED" w:rsidRPr="007C532B">
        <w:rPr>
          <w:rFonts w:ascii="Tahoma" w:hAnsi="Tahoma" w:cs="Tahoma"/>
          <w:color w:val="000000"/>
          <w:sz w:val="22"/>
          <w:szCs w:val="22"/>
          <w:lang w:eastAsia="es-ES_tradnl"/>
        </w:rPr>
        <w:t>2021</w:t>
      </w:r>
    </w:p>
    <w:p w14:paraId="264D1822" w14:textId="77777777" w:rsidR="00587FC2" w:rsidRDefault="00587FC2" w:rsidP="004E77ED">
      <w:pPr>
        <w:jc w:val="right"/>
        <w:rPr>
          <w:rFonts w:ascii="Tahoma" w:hAnsi="Tahoma" w:cs="Tahoma"/>
          <w:color w:val="000000"/>
          <w:sz w:val="22"/>
          <w:szCs w:val="22"/>
          <w:lang w:eastAsia="es-ES_tradnl"/>
        </w:rPr>
      </w:pPr>
    </w:p>
    <w:p w14:paraId="76A3A64B" w14:textId="77777777" w:rsidR="00587FC2" w:rsidRDefault="00587FC2" w:rsidP="004E77ED">
      <w:pPr>
        <w:jc w:val="right"/>
        <w:rPr>
          <w:rFonts w:ascii="Tahoma" w:hAnsi="Tahoma" w:cs="Tahoma"/>
          <w:color w:val="000000"/>
          <w:sz w:val="22"/>
          <w:szCs w:val="22"/>
          <w:lang w:eastAsia="es-ES_tradnl"/>
        </w:rPr>
      </w:pPr>
    </w:p>
    <w:p w14:paraId="7F2F7232" w14:textId="77777777" w:rsidR="00587FC2" w:rsidRDefault="00587FC2" w:rsidP="00587FC2">
      <w:pPr>
        <w:jc w:val="center"/>
        <w:rPr>
          <w:rFonts w:ascii="Tahoma" w:hAnsi="Tahoma" w:cs="Tahoma"/>
          <w:b/>
          <w:color w:val="000000"/>
          <w:sz w:val="32"/>
          <w:szCs w:val="32"/>
          <w:lang w:eastAsia="es-ES_tradnl"/>
        </w:rPr>
      </w:pPr>
      <w:r>
        <w:rPr>
          <w:rFonts w:ascii="Tahoma" w:hAnsi="Tahoma" w:cs="Tahoma"/>
          <w:b/>
          <w:color w:val="000000"/>
          <w:sz w:val="32"/>
          <w:szCs w:val="32"/>
          <w:lang w:eastAsia="es-ES_tradnl"/>
        </w:rPr>
        <w:t>FEDA presenta el Barómetro Empresarial de la provincia de Albacete con las consecuencias de la Covid-19 y las previsiones para 2021</w:t>
      </w:r>
    </w:p>
    <w:p w14:paraId="5A3CD82E" w14:textId="77777777" w:rsidR="00587FC2" w:rsidRDefault="00587FC2" w:rsidP="00587FC2">
      <w:pPr>
        <w:jc w:val="center"/>
        <w:rPr>
          <w:rFonts w:ascii="Tahoma" w:hAnsi="Tahoma" w:cs="Tahoma"/>
          <w:b/>
          <w:color w:val="000000"/>
          <w:sz w:val="32"/>
          <w:szCs w:val="32"/>
          <w:lang w:eastAsia="es-ES_tradnl"/>
        </w:rPr>
      </w:pPr>
    </w:p>
    <w:p w14:paraId="6B3E4BD4" w14:textId="77777777" w:rsidR="00587FC2" w:rsidRDefault="00587FC2" w:rsidP="00587FC2">
      <w:pPr>
        <w:pStyle w:val="Prrafodelista"/>
        <w:numPr>
          <w:ilvl w:val="0"/>
          <w:numId w:val="14"/>
        </w:numPr>
        <w:spacing w:line="240" w:lineRule="auto"/>
        <w:jc w:val="center"/>
        <w:rPr>
          <w:rFonts w:ascii="Tahoma" w:hAnsi="Tahoma" w:cs="Tahoma"/>
          <w:b/>
          <w:color w:val="000000"/>
          <w:szCs w:val="24"/>
          <w:lang w:eastAsia="es-ES_tradnl"/>
        </w:rPr>
      </w:pPr>
      <w:r>
        <w:rPr>
          <w:rFonts w:ascii="Tahoma" w:hAnsi="Tahoma" w:cs="Tahoma"/>
          <w:b/>
          <w:color w:val="000000"/>
          <w:szCs w:val="24"/>
          <w:lang w:eastAsia="es-ES_tradnl"/>
        </w:rPr>
        <w:t>Gracias a la respuesta a una encuesta anónima de medio millar de empresas, autónomos y autónom</w:t>
      </w:r>
      <w:r w:rsidR="005A5289">
        <w:rPr>
          <w:rFonts w:ascii="Tahoma" w:hAnsi="Tahoma" w:cs="Tahoma"/>
          <w:b/>
          <w:color w:val="000000"/>
          <w:szCs w:val="24"/>
          <w:lang w:eastAsia="es-ES_tradnl"/>
        </w:rPr>
        <w:t>a</w:t>
      </w:r>
      <w:r>
        <w:rPr>
          <w:rFonts w:ascii="Tahoma" w:hAnsi="Tahoma" w:cs="Tahoma"/>
          <w:b/>
          <w:color w:val="000000"/>
          <w:szCs w:val="24"/>
          <w:lang w:eastAsia="es-ES_tradnl"/>
        </w:rPr>
        <w:t>s, de todos los sectores empresariales y las diferentes comarcas</w:t>
      </w:r>
    </w:p>
    <w:p w14:paraId="4FEFEC2A" w14:textId="77777777" w:rsidR="00994B40" w:rsidRDefault="00994B40" w:rsidP="00587FC2">
      <w:pPr>
        <w:pStyle w:val="Prrafodelista"/>
        <w:numPr>
          <w:ilvl w:val="0"/>
          <w:numId w:val="14"/>
        </w:numPr>
        <w:spacing w:line="240" w:lineRule="auto"/>
        <w:jc w:val="center"/>
        <w:rPr>
          <w:rFonts w:ascii="Tahoma" w:hAnsi="Tahoma" w:cs="Tahoma"/>
          <w:b/>
          <w:color w:val="000000"/>
          <w:szCs w:val="24"/>
          <w:lang w:eastAsia="es-ES_tradnl"/>
        </w:rPr>
      </w:pPr>
      <w:r>
        <w:rPr>
          <w:rFonts w:ascii="Tahoma" w:hAnsi="Tahoma" w:cs="Tahoma"/>
          <w:b/>
          <w:color w:val="000000"/>
          <w:szCs w:val="24"/>
          <w:lang w:eastAsia="es-ES_tradnl"/>
        </w:rPr>
        <w:t>El informe ha sido presentado a los medios de comunicación por el presidente y secretario general de FEDA, Artemio Pérez y Vicente García</w:t>
      </w:r>
    </w:p>
    <w:p w14:paraId="4243F3AE" w14:textId="77777777" w:rsidR="00587FC2" w:rsidRDefault="00587FC2" w:rsidP="00587FC2">
      <w:pPr>
        <w:jc w:val="center"/>
        <w:rPr>
          <w:rFonts w:ascii="Tahoma" w:hAnsi="Tahoma" w:cs="Tahoma"/>
          <w:b/>
          <w:color w:val="000000"/>
          <w:szCs w:val="24"/>
          <w:lang w:eastAsia="es-ES_tradnl"/>
        </w:rPr>
      </w:pPr>
    </w:p>
    <w:p w14:paraId="43E82DAE" w14:textId="0A5C3180" w:rsidR="00587FC2" w:rsidRPr="00014453" w:rsidRDefault="00587FC2" w:rsidP="00014453">
      <w:pPr>
        <w:rPr>
          <w:rFonts w:ascii="Tahoma" w:hAnsi="Tahoma" w:cs="Tahoma"/>
          <w:color w:val="000000"/>
          <w:sz w:val="22"/>
          <w:szCs w:val="22"/>
          <w:lang w:eastAsia="es-ES_tradnl"/>
        </w:rPr>
      </w:pPr>
      <w:r w:rsidRPr="00014453">
        <w:rPr>
          <w:rFonts w:ascii="Tahoma" w:hAnsi="Tahoma" w:cs="Tahoma"/>
          <w:color w:val="000000"/>
          <w:sz w:val="22"/>
          <w:szCs w:val="22"/>
          <w:lang w:eastAsia="es-ES_tradnl"/>
        </w:rPr>
        <w:t>Gracias a la respuesta a un</w:t>
      </w:r>
      <w:r w:rsidR="00821F56">
        <w:rPr>
          <w:rFonts w:ascii="Tahoma" w:hAnsi="Tahoma" w:cs="Tahoma"/>
          <w:color w:val="000000"/>
          <w:sz w:val="22"/>
          <w:szCs w:val="22"/>
          <w:lang w:eastAsia="es-ES_tradnl"/>
        </w:rPr>
        <w:t>a</w:t>
      </w:r>
      <w:r w:rsidRPr="00014453">
        <w:rPr>
          <w:rFonts w:ascii="Tahoma" w:hAnsi="Tahoma" w:cs="Tahoma"/>
          <w:color w:val="000000"/>
          <w:sz w:val="22"/>
          <w:szCs w:val="22"/>
          <w:lang w:eastAsia="es-ES_tradnl"/>
        </w:rPr>
        <w:t xml:space="preserve"> encuesta anónima de medio millar de empresas, autónomos y autónomas, de todos los sectores empresariales y de las diferentes comarcas de la provincia, FEDA ha elaborado un </w:t>
      </w:r>
      <w:hyperlink r:id="rId8" w:history="1">
        <w:r w:rsidRPr="00014453">
          <w:rPr>
            <w:rStyle w:val="Hipervnculo"/>
            <w:rFonts w:ascii="Tahoma" w:hAnsi="Tahoma" w:cs="Tahoma"/>
            <w:sz w:val="22"/>
            <w:szCs w:val="22"/>
            <w:lang w:eastAsia="es-ES_tradnl"/>
          </w:rPr>
          <w:t>Barómetro Empresarial 2020-2021</w:t>
        </w:r>
      </w:hyperlink>
      <w:r w:rsidRPr="00014453">
        <w:rPr>
          <w:rFonts w:ascii="Tahoma" w:hAnsi="Tahoma" w:cs="Tahoma"/>
          <w:color w:val="000000"/>
          <w:sz w:val="22"/>
          <w:szCs w:val="22"/>
          <w:lang w:eastAsia="es-ES_tradnl"/>
        </w:rPr>
        <w:t>, para analizar las consecuencias de la crisis provocada por la Covid-19 durante 2020 y conocer las perspectivas para este año.</w:t>
      </w:r>
    </w:p>
    <w:p w14:paraId="3D2D5363" w14:textId="77777777" w:rsidR="00587FC2" w:rsidRPr="00014453" w:rsidRDefault="00587FC2" w:rsidP="00014453">
      <w:pPr>
        <w:rPr>
          <w:rFonts w:ascii="Tahoma" w:hAnsi="Tahoma" w:cs="Tahoma"/>
          <w:color w:val="000000"/>
          <w:sz w:val="22"/>
          <w:szCs w:val="22"/>
          <w:lang w:eastAsia="es-ES_tradnl"/>
        </w:rPr>
      </w:pPr>
    </w:p>
    <w:p w14:paraId="0EE4DB61" w14:textId="2BEEC116" w:rsidR="00587FC2" w:rsidRPr="00014453" w:rsidRDefault="00587FC2" w:rsidP="00014453">
      <w:pPr>
        <w:rPr>
          <w:rFonts w:ascii="Tahoma" w:hAnsi="Tahoma" w:cs="Tahoma"/>
          <w:color w:val="000000"/>
          <w:sz w:val="22"/>
          <w:szCs w:val="22"/>
          <w:lang w:eastAsia="es-ES_tradnl"/>
        </w:rPr>
      </w:pPr>
      <w:r w:rsidRPr="00014453">
        <w:rPr>
          <w:rFonts w:ascii="Tahoma" w:hAnsi="Tahoma" w:cs="Tahoma"/>
          <w:color w:val="000000"/>
          <w:sz w:val="22"/>
          <w:szCs w:val="22"/>
          <w:lang w:eastAsia="es-ES_tradnl"/>
        </w:rPr>
        <w:t xml:space="preserve">Este </w:t>
      </w:r>
      <w:hyperlink r:id="rId9" w:tooltip="Barometro empresarial" w:history="1">
        <w:r w:rsidR="00821F56">
          <w:rPr>
            <w:rStyle w:val="Hipervnculo"/>
          </w:rPr>
          <w:t>informe</w:t>
        </w:r>
      </w:hyperlink>
      <w:r w:rsidR="00821F56">
        <w:rPr>
          <w:rFonts w:ascii="Tahoma" w:hAnsi="Tahoma" w:cs="Tahoma"/>
          <w:color w:val="000000"/>
          <w:sz w:val="22"/>
          <w:szCs w:val="22"/>
          <w:lang w:eastAsia="es-ES_tradnl"/>
        </w:rPr>
        <w:t xml:space="preserve"> h</w:t>
      </w:r>
      <w:r w:rsidRPr="00014453">
        <w:rPr>
          <w:rFonts w:ascii="Tahoma" w:hAnsi="Tahoma" w:cs="Tahoma"/>
          <w:color w:val="000000"/>
          <w:sz w:val="22"/>
          <w:szCs w:val="22"/>
          <w:lang w:eastAsia="es-ES_tradnl"/>
        </w:rPr>
        <w:t xml:space="preserve">a sido presentado hoy a los medios de comunicación por el presidente y el secretario general de FEDA, Artemio Pérez Alfaro y Vicente García, respectivamente, una vez que volcados todos los datos, presentado ayer al Comité Ejecutivo y Junta Directiva y seguidamente enviará desde la web </w:t>
      </w:r>
      <w:hyperlink r:id="rId10" w:history="1">
        <w:r w:rsidRPr="00014453">
          <w:rPr>
            <w:rStyle w:val="Hipervnculo"/>
            <w:rFonts w:ascii="Tahoma" w:hAnsi="Tahoma" w:cs="Tahoma"/>
            <w:sz w:val="22"/>
            <w:szCs w:val="22"/>
            <w:lang w:eastAsia="es-ES_tradnl"/>
          </w:rPr>
          <w:t>www.feda.es</w:t>
        </w:r>
      </w:hyperlink>
      <w:r w:rsidRPr="00014453">
        <w:rPr>
          <w:rFonts w:ascii="Tahoma" w:hAnsi="Tahoma" w:cs="Tahoma"/>
          <w:color w:val="000000"/>
          <w:sz w:val="22"/>
          <w:szCs w:val="22"/>
          <w:lang w:eastAsia="es-ES_tradnl"/>
        </w:rPr>
        <w:t xml:space="preserve"> a los asociados y asociadas a FEDA.</w:t>
      </w:r>
    </w:p>
    <w:p w14:paraId="7CC0C69E" w14:textId="77777777" w:rsidR="00284ED3" w:rsidRPr="00284ED3" w:rsidRDefault="004170BC" w:rsidP="00014453">
      <w:pPr>
        <w:keepNext/>
        <w:keepLines/>
        <w:spacing w:before="240" w:after="160" w:line="259" w:lineRule="auto"/>
        <w:outlineLvl w:val="0"/>
        <w:rPr>
          <w:rFonts w:ascii="Tahoma" w:eastAsiaTheme="minorHAnsi" w:hAnsi="Tahoma" w:cs="Tahoma"/>
          <w:sz w:val="22"/>
          <w:szCs w:val="22"/>
          <w:lang w:val="es-ES" w:eastAsia="en-US"/>
        </w:rPr>
      </w:pPr>
      <w:bookmarkStart w:id="0" w:name="_Toc66983932"/>
      <w:r>
        <w:rPr>
          <w:rFonts w:ascii="Tahoma" w:eastAsiaTheme="majorEastAsia" w:hAnsi="Tahoma" w:cs="Tahoma"/>
          <w:b/>
          <w:sz w:val="22"/>
          <w:szCs w:val="22"/>
          <w:lang w:val="es-ES" w:eastAsia="en-US"/>
        </w:rPr>
        <w:t>I</w:t>
      </w:r>
      <w:r w:rsidR="00284ED3" w:rsidRPr="00284ED3">
        <w:rPr>
          <w:rFonts w:ascii="Tahoma" w:eastAsiaTheme="majorEastAsia" w:hAnsi="Tahoma" w:cs="Tahoma"/>
          <w:b/>
          <w:sz w:val="22"/>
          <w:szCs w:val="22"/>
          <w:lang w:val="es-ES" w:eastAsia="en-US"/>
        </w:rPr>
        <w:t>mpacto de</w:t>
      </w:r>
      <w:r w:rsidR="00284ED3" w:rsidRPr="00014453">
        <w:rPr>
          <w:rFonts w:ascii="Tahoma" w:eastAsiaTheme="majorEastAsia" w:hAnsi="Tahoma" w:cs="Tahoma"/>
          <w:b/>
          <w:sz w:val="22"/>
          <w:szCs w:val="22"/>
          <w:lang w:val="es-ES" w:eastAsia="en-US"/>
        </w:rPr>
        <w:t xml:space="preserve"> la</w:t>
      </w:r>
      <w:r w:rsidR="00284ED3" w:rsidRPr="00284ED3">
        <w:rPr>
          <w:rFonts w:ascii="Tahoma" w:eastAsiaTheme="majorEastAsia" w:hAnsi="Tahoma" w:cs="Tahoma"/>
          <w:b/>
          <w:sz w:val="22"/>
          <w:szCs w:val="22"/>
          <w:lang w:val="es-ES" w:eastAsia="en-US"/>
        </w:rPr>
        <w:t xml:space="preserve"> COVID-19 en las pymes y autónomos de la provincia en el 2020</w:t>
      </w:r>
      <w:bookmarkEnd w:id="0"/>
    </w:p>
    <w:p w14:paraId="0A9085F3" w14:textId="77777777" w:rsidR="00284ED3" w:rsidRPr="00014453" w:rsidRDefault="00284ED3" w:rsidP="00014453">
      <w:pPr>
        <w:spacing w:after="160" w:line="259" w:lineRule="auto"/>
        <w:rPr>
          <w:rFonts w:ascii="Tahoma" w:eastAsiaTheme="minorHAnsi" w:hAnsi="Tahoma" w:cs="Tahoma"/>
          <w:sz w:val="22"/>
          <w:szCs w:val="22"/>
          <w:lang w:val="es-ES" w:eastAsia="en-US"/>
        </w:rPr>
      </w:pPr>
      <w:r w:rsidRPr="00284ED3">
        <w:rPr>
          <w:rFonts w:ascii="Tahoma" w:eastAsiaTheme="minorHAnsi" w:hAnsi="Tahoma" w:cs="Tahoma"/>
          <w:sz w:val="22"/>
          <w:szCs w:val="22"/>
          <w:lang w:val="es-ES" w:eastAsia="en-US"/>
        </w:rPr>
        <w:t>En términos generales, la provincia de Albacete ha acusado la crisis en menor medida que el conjunto de la economía nacional, de hecho, el impacto estimado en el PIB provincial es de un -7,4 %, un 3,6% menos negativo que la reducción del PIB nacional, que ha sido del 11%.</w:t>
      </w:r>
    </w:p>
    <w:p w14:paraId="656F7A24" w14:textId="77777777" w:rsidR="00284ED3" w:rsidRPr="00284ED3" w:rsidRDefault="00284ED3" w:rsidP="00014453">
      <w:pPr>
        <w:spacing w:after="160" w:line="259" w:lineRule="auto"/>
        <w:rPr>
          <w:rFonts w:ascii="Tahoma" w:eastAsiaTheme="minorHAnsi" w:hAnsi="Tahoma" w:cs="Tahoma"/>
          <w:sz w:val="22"/>
          <w:szCs w:val="22"/>
          <w:lang w:val="es-ES" w:eastAsia="en-US"/>
        </w:rPr>
      </w:pPr>
      <w:r w:rsidRPr="00284ED3">
        <w:rPr>
          <w:rFonts w:ascii="Tahoma" w:eastAsiaTheme="minorHAnsi" w:hAnsi="Tahoma" w:cs="Tahoma"/>
          <w:sz w:val="22"/>
          <w:szCs w:val="22"/>
          <w:lang w:val="es-ES" w:eastAsia="en-US"/>
        </w:rPr>
        <w:t>La diferencia entre la disminución del PIB provincial y nacional se debe al mayor peso que, en la provincia, tiene el sector agrícola, la industria agroalimentaria y la Administración Pública y, a su vez, por la menor dependencia del sector del turismo respecto al conjunto de España. (Nota: según el INE, el PIB de la provincia de Albacete en el año 2018 (P) fue de 8.235,4 millones de euros)</w:t>
      </w:r>
    </w:p>
    <w:p w14:paraId="00ADA022" w14:textId="77777777" w:rsidR="00284ED3" w:rsidRPr="00284ED3" w:rsidRDefault="00284ED3" w:rsidP="00014453">
      <w:pPr>
        <w:spacing w:after="160" w:line="259" w:lineRule="auto"/>
        <w:rPr>
          <w:rFonts w:ascii="Tahoma" w:eastAsiaTheme="minorHAnsi" w:hAnsi="Tahoma" w:cs="Tahoma"/>
          <w:b/>
          <w:sz w:val="22"/>
          <w:szCs w:val="22"/>
          <w:lang w:val="es-ES" w:eastAsia="en-US"/>
        </w:rPr>
      </w:pPr>
      <w:r w:rsidRPr="00284ED3">
        <w:rPr>
          <w:rFonts w:ascii="Tahoma" w:eastAsiaTheme="minorHAnsi" w:hAnsi="Tahoma" w:cs="Tahoma"/>
          <w:sz w:val="22"/>
          <w:szCs w:val="22"/>
          <w:lang w:val="es-ES" w:eastAsia="en-US"/>
        </w:rPr>
        <w:t xml:space="preserve">En función de las respuestas obtenidas, en el 2020, los autónomos y pymes de la provincia han visto su facturación reducida en un </w:t>
      </w:r>
      <w:r w:rsidRPr="00284ED3">
        <w:rPr>
          <w:rFonts w:ascii="Tahoma" w:eastAsiaTheme="minorHAnsi" w:hAnsi="Tahoma" w:cs="Tahoma"/>
          <w:b/>
          <w:sz w:val="22"/>
          <w:szCs w:val="22"/>
          <w:lang w:val="es-ES" w:eastAsia="en-US"/>
        </w:rPr>
        <w:t>-16,5%</w:t>
      </w:r>
      <w:r w:rsidRPr="00284ED3">
        <w:rPr>
          <w:rFonts w:ascii="Tahoma" w:eastAsiaTheme="minorHAnsi" w:hAnsi="Tahoma" w:cs="Tahoma"/>
          <w:sz w:val="22"/>
          <w:szCs w:val="22"/>
          <w:lang w:val="es-ES" w:eastAsia="en-US"/>
        </w:rPr>
        <w:t xml:space="preserve">, con un impacto en sus plantillas de un </w:t>
      </w:r>
      <w:r w:rsidRPr="00284ED3">
        <w:rPr>
          <w:rFonts w:ascii="Tahoma" w:eastAsiaTheme="minorHAnsi" w:hAnsi="Tahoma" w:cs="Tahoma"/>
          <w:b/>
          <w:sz w:val="22"/>
          <w:szCs w:val="22"/>
          <w:lang w:val="es-ES" w:eastAsia="en-US"/>
        </w:rPr>
        <w:t xml:space="preserve">-7,2%. </w:t>
      </w:r>
      <w:r w:rsidRPr="00284ED3">
        <w:rPr>
          <w:rFonts w:ascii="Tahoma" w:eastAsiaTheme="minorHAnsi" w:hAnsi="Tahoma" w:cs="Tahoma"/>
          <w:bCs/>
          <w:sz w:val="22"/>
          <w:szCs w:val="22"/>
          <w:lang w:val="es-ES" w:eastAsia="en-US"/>
        </w:rPr>
        <w:t xml:space="preserve">En términos absolutos, la pérdida de facturación de autónomos y </w:t>
      </w:r>
      <w:proofErr w:type="spellStart"/>
      <w:r w:rsidRPr="00284ED3">
        <w:rPr>
          <w:rFonts w:ascii="Tahoma" w:eastAsiaTheme="minorHAnsi" w:hAnsi="Tahoma" w:cs="Tahoma"/>
          <w:bCs/>
          <w:sz w:val="22"/>
          <w:szCs w:val="22"/>
          <w:lang w:val="es-ES" w:eastAsia="en-US"/>
        </w:rPr>
        <w:t>PYME’s</w:t>
      </w:r>
      <w:proofErr w:type="spellEnd"/>
      <w:r w:rsidRPr="00284ED3">
        <w:rPr>
          <w:rFonts w:ascii="Tahoma" w:eastAsiaTheme="minorHAnsi" w:hAnsi="Tahoma" w:cs="Tahoma"/>
          <w:bCs/>
          <w:sz w:val="22"/>
          <w:szCs w:val="22"/>
          <w:lang w:val="es-ES" w:eastAsia="en-US"/>
        </w:rPr>
        <w:t xml:space="preserve"> de la provincia se estima en </w:t>
      </w:r>
      <w:r w:rsidRPr="00284ED3">
        <w:rPr>
          <w:rFonts w:ascii="Tahoma" w:eastAsiaTheme="minorHAnsi" w:hAnsi="Tahoma" w:cs="Tahoma"/>
          <w:b/>
          <w:sz w:val="22"/>
          <w:szCs w:val="22"/>
          <w:lang w:val="es-ES" w:eastAsia="en-US"/>
        </w:rPr>
        <w:t>740 millones de euros</w:t>
      </w:r>
      <w:r w:rsidRPr="00284ED3">
        <w:rPr>
          <w:rFonts w:ascii="Tahoma" w:eastAsiaTheme="minorHAnsi" w:hAnsi="Tahoma" w:cs="Tahoma"/>
          <w:bCs/>
          <w:sz w:val="22"/>
          <w:szCs w:val="22"/>
          <w:lang w:val="es-ES" w:eastAsia="en-US"/>
        </w:rPr>
        <w:t>.</w:t>
      </w:r>
    </w:p>
    <w:p w14:paraId="1FE4DECB" w14:textId="77777777" w:rsidR="00284ED3" w:rsidRPr="00284ED3" w:rsidRDefault="00284ED3" w:rsidP="00014453">
      <w:pPr>
        <w:spacing w:after="160" w:line="259" w:lineRule="auto"/>
        <w:rPr>
          <w:rFonts w:ascii="Tahoma" w:eastAsiaTheme="minorHAnsi" w:hAnsi="Tahoma" w:cs="Tahoma"/>
          <w:sz w:val="22"/>
          <w:szCs w:val="22"/>
          <w:lang w:val="es-ES" w:eastAsia="en-US"/>
        </w:rPr>
      </w:pPr>
      <w:r w:rsidRPr="00284ED3">
        <w:rPr>
          <w:rFonts w:ascii="Tahoma" w:eastAsiaTheme="minorHAnsi" w:hAnsi="Tahoma" w:cs="Tahoma"/>
          <w:sz w:val="22"/>
          <w:szCs w:val="22"/>
          <w:lang w:val="es-ES" w:eastAsia="en-US"/>
        </w:rPr>
        <w:t xml:space="preserve">El contraste entre la pérdida de facturación de las PYMES y autónomos </w:t>
      </w:r>
      <w:r w:rsidRPr="00284ED3">
        <w:rPr>
          <w:rFonts w:ascii="Tahoma" w:eastAsiaTheme="minorHAnsi" w:hAnsi="Tahoma" w:cs="Tahoma"/>
          <w:b/>
          <w:bCs/>
          <w:sz w:val="22"/>
          <w:szCs w:val="22"/>
          <w:lang w:val="es-ES" w:eastAsia="en-US"/>
        </w:rPr>
        <w:t>(</w:t>
      </w:r>
      <w:r w:rsidRPr="00284ED3">
        <w:rPr>
          <w:rFonts w:ascii="Tahoma" w:eastAsiaTheme="minorHAnsi" w:hAnsi="Tahoma" w:cs="Tahoma"/>
          <w:b/>
          <w:sz w:val="22"/>
          <w:szCs w:val="22"/>
          <w:lang w:val="es-ES" w:eastAsia="en-US"/>
        </w:rPr>
        <w:t xml:space="preserve">-16,5%) </w:t>
      </w:r>
      <w:r w:rsidRPr="00284ED3">
        <w:rPr>
          <w:rFonts w:ascii="Tahoma" w:eastAsiaTheme="minorHAnsi" w:hAnsi="Tahoma" w:cs="Tahoma"/>
          <w:sz w:val="22"/>
          <w:szCs w:val="22"/>
          <w:lang w:val="es-ES" w:eastAsia="en-US"/>
        </w:rPr>
        <w:t xml:space="preserve">y la disminución del PIB provincial </w:t>
      </w:r>
      <w:r w:rsidRPr="00284ED3">
        <w:rPr>
          <w:rFonts w:ascii="Tahoma" w:eastAsiaTheme="minorHAnsi" w:hAnsi="Tahoma" w:cs="Tahoma"/>
          <w:b/>
          <w:bCs/>
          <w:sz w:val="22"/>
          <w:szCs w:val="22"/>
          <w:lang w:val="es-ES" w:eastAsia="en-US"/>
        </w:rPr>
        <w:t>(</w:t>
      </w:r>
      <w:r w:rsidRPr="00284ED3">
        <w:rPr>
          <w:rFonts w:ascii="Tahoma" w:eastAsiaTheme="minorHAnsi" w:hAnsi="Tahoma" w:cs="Tahoma"/>
          <w:b/>
          <w:sz w:val="22"/>
          <w:szCs w:val="22"/>
          <w:lang w:val="es-ES" w:eastAsia="en-US"/>
        </w:rPr>
        <w:t>-7,4%)</w:t>
      </w:r>
      <w:r w:rsidRPr="00284ED3">
        <w:rPr>
          <w:rFonts w:ascii="Tahoma" w:eastAsiaTheme="minorHAnsi" w:hAnsi="Tahoma" w:cs="Tahoma"/>
          <w:sz w:val="22"/>
          <w:szCs w:val="22"/>
          <w:lang w:val="es-ES" w:eastAsia="en-US"/>
        </w:rPr>
        <w:t>, se explica por el peso que en la economía provincial tiene el sector público y la contribución al PIB que pueda realizar sectores como la sanidad, la banca o la educación, que han mantenido e incluso han aumentado su actividad y están fuera del espectro de las pequeñas empresas.</w:t>
      </w:r>
    </w:p>
    <w:p w14:paraId="2A43CC31" w14:textId="77777777" w:rsidR="004170BC" w:rsidRDefault="004170BC" w:rsidP="00014453">
      <w:pPr>
        <w:spacing w:after="160" w:line="259" w:lineRule="auto"/>
        <w:rPr>
          <w:rFonts w:ascii="Tahoma" w:eastAsiaTheme="minorHAnsi" w:hAnsi="Tahoma" w:cs="Tahoma"/>
          <w:sz w:val="22"/>
          <w:szCs w:val="22"/>
          <w:lang w:val="es-ES" w:eastAsia="en-US"/>
        </w:rPr>
      </w:pPr>
    </w:p>
    <w:p w14:paraId="05FD4CDB" w14:textId="77777777" w:rsidR="00284ED3" w:rsidRPr="00284ED3" w:rsidRDefault="00284ED3" w:rsidP="00014453">
      <w:pPr>
        <w:spacing w:after="160" w:line="259" w:lineRule="auto"/>
        <w:rPr>
          <w:rFonts w:ascii="Tahoma" w:eastAsiaTheme="minorHAnsi" w:hAnsi="Tahoma" w:cs="Tahoma"/>
          <w:sz w:val="22"/>
          <w:szCs w:val="22"/>
          <w:lang w:val="es-ES" w:eastAsia="en-US"/>
        </w:rPr>
      </w:pPr>
      <w:r w:rsidRPr="00284ED3">
        <w:rPr>
          <w:rFonts w:ascii="Tahoma" w:eastAsiaTheme="minorHAnsi" w:hAnsi="Tahoma" w:cs="Tahoma"/>
          <w:sz w:val="22"/>
          <w:szCs w:val="22"/>
          <w:lang w:val="es-ES" w:eastAsia="en-US"/>
        </w:rPr>
        <w:t>Este impacto ha sido desigual dependiendo del sector, zona geográfica y tamaño de la empresa, pudiendo extraerse las siguientes conclusiones:</w:t>
      </w:r>
    </w:p>
    <w:p w14:paraId="617A2F9B" w14:textId="77777777" w:rsidR="00284ED3" w:rsidRPr="00284ED3" w:rsidRDefault="00284ED3" w:rsidP="00014453">
      <w:pPr>
        <w:keepNext/>
        <w:keepLines/>
        <w:spacing w:before="40" w:after="160" w:line="259" w:lineRule="auto"/>
        <w:outlineLvl w:val="1"/>
        <w:rPr>
          <w:rFonts w:ascii="Tahoma" w:eastAsiaTheme="minorHAnsi" w:hAnsi="Tahoma" w:cs="Tahoma"/>
          <w:sz w:val="22"/>
          <w:szCs w:val="22"/>
          <w:lang w:val="es-ES" w:eastAsia="en-US"/>
        </w:rPr>
      </w:pPr>
      <w:bookmarkStart w:id="1" w:name="_Toc66983933"/>
      <w:r w:rsidRPr="00284ED3">
        <w:rPr>
          <w:rFonts w:ascii="Tahoma" w:eastAsiaTheme="majorEastAsia" w:hAnsi="Tahoma" w:cs="Tahoma"/>
          <w:b/>
          <w:sz w:val="22"/>
          <w:szCs w:val="22"/>
          <w:lang w:val="es-ES" w:eastAsia="en-US"/>
        </w:rPr>
        <w:t>Impacto por sectores de actividad</w:t>
      </w:r>
      <w:bookmarkEnd w:id="1"/>
    </w:p>
    <w:p w14:paraId="27813ECA" w14:textId="77777777" w:rsidR="00284ED3" w:rsidRPr="00284ED3" w:rsidRDefault="00284ED3" w:rsidP="00014453">
      <w:pPr>
        <w:spacing w:after="160" w:line="259" w:lineRule="auto"/>
        <w:rPr>
          <w:rFonts w:ascii="Tahoma" w:eastAsiaTheme="minorHAnsi" w:hAnsi="Tahoma" w:cs="Tahoma"/>
          <w:sz w:val="22"/>
          <w:szCs w:val="22"/>
          <w:lang w:val="es-ES" w:eastAsia="en-US"/>
        </w:rPr>
      </w:pPr>
      <w:r w:rsidRPr="00284ED3">
        <w:rPr>
          <w:rFonts w:ascii="Tahoma" w:eastAsiaTheme="minorHAnsi" w:hAnsi="Tahoma" w:cs="Tahoma"/>
          <w:sz w:val="22"/>
          <w:szCs w:val="22"/>
          <w:lang w:val="es-ES" w:eastAsia="en-US"/>
        </w:rPr>
        <w:t xml:space="preserve">El sector que ha experimentado la crisis con mayor crudeza ha sido el de la hostelería, seguido del sector de otros servicios (especialmente afectado en las actividades de centros de formación privada, escuelas infantiles, agencias de publicidad, servicios de la actividad física y el deporte, agencias de viajes o el de peluquería y estética), del sector de transportes (con especial incidencia en la actividad de transporte de viajeros) y del comercio. </w:t>
      </w:r>
    </w:p>
    <w:p w14:paraId="245295B7" w14:textId="77777777" w:rsidR="00284ED3" w:rsidRPr="00284ED3" w:rsidRDefault="00284ED3" w:rsidP="00014453">
      <w:pPr>
        <w:spacing w:after="160" w:line="259" w:lineRule="auto"/>
        <w:rPr>
          <w:rFonts w:ascii="Tahoma" w:eastAsiaTheme="minorHAnsi" w:hAnsi="Tahoma" w:cs="Tahoma"/>
          <w:sz w:val="22"/>
          <w:szCs w:val="22"/>
          <w:lang w:val="es-ES" w:eastAsia="en-US"/>
        </w:rPr>
      </w:pPr>
      <w:r w:rsidRPr="00284ED3">
        <w:rPr>
          <w:rFonts w:ascii="Tahoma" w:eastAsiaTheme="minorHAnsi" w:hAnsi="Tahoma" w:cs="Tahoma"/>
          <w:sz w:val="22"/>
          <w:szCs w:val="22"/>
          <w:lang w:val="es-ES" w:eastAsia="en-US"/>
        </w:rPr>
        <w:t xml:space="preserve">El impacto estimado, en términos de pérdida de facturación total de las pymes y autónomos de la provincia, se cifra en un total de </w:t>
      </w:r>
      <w:r w:rsidRPr="00284ED3">
        <w:rPr>
          <w:rFonts w:ascii="Tahoma" w:eastAsiaTheme="minorHAnsi" w:hAnsi="Tahoma" w:cs="Tahoma"/>
          <w:b/>
          <w:sz w:val="22"/>
          <w:szCs w:val="22"/>
          <w:lang w:val="es-ES" w:eastAsia="en-US"/>
        </w:rPr>
        <w:t>740 millones de euros</w:t>
      </w:r>
      <w:r w:rsidRPr="00284ED3">
        <w:rPr>
          <w:rFonts w:ascii="Tahoma" w:eastAsiaTheme="minorHAnsi" w:hAnsi="Tahoma" w:cs="Tahoma"/>
          <w:sz w:val="22"/>
          <w:szCs w:val="22"/>
          <w:lang w:val="es-ES" w:eastAsia="en-US"/>
        </w:rPr>
        <w:t>. Se puede apreciar que, en términos absolutos, esa pérdida de facturación ha afectado principalmente a hostelería, comercio e industria.</w:t>
      </w:r>
    </w:p>
    <w:p w14:paraId="0F464827" w14:textId="77777777" w:rsidR="00284ED3" w:rsidRPr="00284ED3" w:rsidRDefault="00284ED3" w:rsidP="00014453">
      <w:pPr>
        <w:spacing w:after="160" w:line="259" w:lineRule="auto"/>
        <w:rPr>
          <w:rFonts w:ascii="Tahoma" w:eastAsiaTheme="minorHAnsi" w:hAnsi="Tahoma" w:cs="Tahoma"/>
          <w:sz w:val="22"/>
          <w:szCs w:val="22"/>
          <w:lang w:val="es-ES" w:eastAsia="en-US"/>
        </w:rPr>
      </w:pPr>
      <w:r w:rsidRPr="00284ED3">
        <w:rPr>
          <w:rFonts w:ascii="Tahoma" w:eastAsiaTheme="minorHAnsi" w:hAnsi="Tahoma" w:cs="Tahoma"/>
          <w:sz w:val="22"/>
          <w:szCs w:val="22"/>
          <w:lang w:val="es-ES" w:eastAsia="en-US"/>
        </w:rPr>
        <w:t>Las respuestas obtenidas en el estudio por sector se detallan en el gráfico siguiente, en el que se muestra que en el 64,6% de las empresas ha disminuido la facturación y sólo ha aumentado en el 22% de ellas, siendo el sector de agricultura y ganadería en el menos desfavorecido en términos de facturación.</w:t>
      </w:r>
    </w:p>
    <w:p w14:paraId="164ABC43" w14:textId="77777777" w:rsidR="00014453" w:rsidRDefault="00284ED3" w:rsidP="00014453">
      <w:pPr>
        <w:spacing w:after="160" w:line="259" w:lineRule="auto"/>
        <w:rPr>
          <w:rFonts w:ascii="Tahoma" w:eastAsiaTheme="minorHAnsi" w:hAnsi="Tahoma" w:cs="Tahoma"/>
          <w:sz w:val="22"/>
          <w:szCs w:val="22"/>
          <w:lang w:val="es-ES" w:eastAsia="en-US"/>
        </w:rPr>
      </w:pPr>
      <w:r w:rsidRPr="00284ED3">
        <w:rPr>
          <w:rFonts w:ascii="Tahoma" w:eastAsiaTheme="minorHAnsi" w:hAnsi="Tahoma" w:cs="Tahoma"/>
          <w:sz w:val="22"/>
          <w:szCs w:val="22"/>
          <w:lang w:val="es-ES" w:eastAsia="en-US"/>
        </w:rPr>
        <w:t>De igual manera, el impacto en la pérdida de puestos de trabajo también se ha concentrado en esos sectores, especialmente el de hostelería y otros servicios. En sectores como el comercio, con una disminución acusada de ingresos, la pérdida de plantilla no ha sido tan alta por estar formado principalmente por autónomos y microempresas.</w:t>
      </w:r>
    </w:p>
    <w:p w14:paraId="4C2523BE" w14:textId="77777777" w:rsidR="00284ED3" w:rsidRPr="00284ED3" w:rsidRDefault="00284ED3" w:rsidP="00014453">
      <w:pPr>
        <w:spacing w:after="160" w:line="259" w:lineRule="auto"/>
        <w:rPr>
          <w:rFonts w:ascii="Tahoma" w:eastAsiaTheme="minorHAnsi" w:hAnsi="Tahoma" w:cs="Tahoma"/>
          <w:sz w:val="22"/>
          <w:szCs w:val="22"/>
          <w:lang w:val="es-ES" w:eastAsia="en-US"/>
        </w:rPr>
      </w:pPr>
      <w:r w:rsidRPr="00284ED3">
        <w:rPr>
          <w:rFonts w:ascii="Tahoma" w:eastAsiaTheme="minorHAnsi" w:hAnsi="Tahoma" w:cs="Tahoma"/>
          <w:sz w:val="22"/>
          <w:szCs w:val="22"/>
          <w:lang w:val="es-ES" w:eastAsia="en-US"/>
        </w:rPr>
        <w:t>El detalle de la variación de plantilla por sector se indica también a continuación, en el que se muestra que en el 25,4% de las empresas ha disminuido la plantilla y se ha mantenido en el 65,9% de ellas.</w:t>
      </w:r>
    </w:p>
    <w:p w14:paraId="47D8FBDA" w14:textId="77777777" w:rsidR="00284ED3" w:rsidRPr="00284ED3" w:rsidRDefault="00284ED3" w:rsidP="00014453">
      <w:pPr>
        <w:spacing w:after="160" w:line="259" w:lineRule="auto"/>
        <w:rPr>
          <w:rFonts w:ascii="Tahoma" w:eastAsiaTheme="minorHAnsi" w:hAnsi="Tahoma" w:cs="Tahoma"/>
          <w:sz w:val="22"/>
          <w:szCs w:val="22"/>
          <w:lang w:val="es-ES" w:eastAsia="en-US"/>
        </w:rPr>
      </w:pPr>
      <w:r w:rsidRPr="00284ED3">
        <w:rPr>
          <w:rFonts w:ascii="Tahoma" w:eastAsiaTheme="minorHAnsi" w:hAnsi="Tahoma" w:cs="Tahoma"/>
          <w:sz w:val="22"/>
          <w:szCs w:val="22"/>
          <w:lang w:val="es-ES" w:eastAsia="en-US"/>
        </w:rPr>
        <w:t>Cabe mencionar que, más allá de las conclusiones cuantitativas del estudio, se ha de destacar las especiales dificultades que han encontrado algunos subsectores que, por unas u otras cuestiones, han visto seriamente mermadas sus posibilidades de generación de ingresos.</w:t>
      </w:r>
    </w:p>
    <w:p w14:paraId="6A42AD24" w14:textId="77777777" w:rsidR="00284ED3" w:rsidRPr="00014453" w:rsidRDefault="00284ED3" w:rsidP="00014453">
      <w:pPr>
        <w:spacing w:after="160" w:line="259" w:lineRule="auto"/>
        <w:rPr>
          <w:rFonts w:ascii="Tahoma" w:eastAsiaTheme="minorHAnsi" w:hAnsi="Tahoma" w:cs="Tahoma"/>
          <w:sz w:val="22"/>
          <w:szCs w:val="22"/>
          <w:lang w:val="es-ES" w:eastAsia="en-US"/>
        </w:rPr>
      </w:pPr>
      <w:r w:rsidRPr="00284ED3">
        <w:rPr>
          <w:rFonts w:ascii="Tahoma" w:eastAsiaTheme="minorHAnsi" w:hAnsi="Tahoma" w:cs="Tahoma"/>
          <w:sz w:val="22"/>
          <w:szCs w:val="22"/>
          <w:lang w:val="es-ES" w:eastAsia="en-US"/>
        </w:rPr>
        <w:t>En concreto, en base a las respuestas cualitativas obtenidas, aquí hacemos mención a las especiales dificultades afrontadas por los siguientes sectores y subsectores:</w:t>
      </w:r>
      <w:r w:rsidRPr="00014453">
        <w:rPr>
          <w:rFonts w:ascii="Tahoma" w:eastAsiaTheme="minorHAnsi" w:hAnsi="Tahoma" w:cs="Tahoma"/>
          <w:sz w:val="22"/>
          <w:szCs w:val="22"/>
          <w:lang w:val="es-ES" w:eastAsia="en-US"/>
        </w:rPr>
        <w:t xml:space="preserve"> Hostelería, el sector del calzado, la industria de la confección y el textil, agencias de viaje, transporte de viajeros por carretera, centros de enseñanza privada y escuelas infantiles, comercio minorista en general y especialmente de moda, calzado y complementos, artes gráficas</w:t>
      </w:r>
      <w:r w:rsidR="00014453" w:rsidRPr="00014453">
        <w:rPr>
          <w:rFonts w:ascii="Tahoma" w:eastAsiaTheme="minorHAnsi" w:hAnsi="Tahoma" w:cs="Tahoma"/>
          <w:sz w:val="22"/>
          <w:szCs w:val="22"/>
          <w:lang w:val="es-ES" w:eastAsia="en-US"/>
        </w:rPr>
        <w:t xml:space="preserve"> y las entidades sin ánimo de lucro.</w:t>
      </w:r>
    </w:p>
    <w:p w14:paraId="1AF91AD8" w14:textId="77777777" w:rsidR="00014453" w:rsidRPr="00014453" w:rsidRDefault="00014453" w:rsidP="00014453">
      <w:pPr>
        <w:keepNext/>
        <w:keepLines/>
        <w:spacing w:before="40" w:after="160" w:line="259" w:lineRule="auto"/>
        <w:outlineLvl w:val="1"/>
        <w:rPr>
          <w:rFonts w:ascii="Tahoma" w:eastAsiaTheme="minorHAnsi" w:hAnsi="Tahoma" w:cs="Tahoma"/>
          <w:sz w:val="22"/>
          <w:szCs w:val="22"/>
          <w:lang w:val="es-ES" w:eastAsia="en-US"/>
        </w:rPr>
      </w:pPr>
      <w:bookmarkStart w:id="2" w:name="_Toc66983934"/>
      <w:r w:rsidRPr="00014453">
        <w:rPr>
          <w:rFonts w:ascii="Tahoma" w:eastAsiaTheme="majorEastAsia" w:hAnsi="Tahoma" w:cs="Tahoma"/>
          <w:b/>
          <w:sz w:val="22"/>
          <w:szCs w:val="22"/>
          <w:lang w:val="es-ES" w:eastAsia="en-US"/>
        </w:rPr>
        <w:t>Impacto por zona geográfica</w:t>
      </w:r>
      <w:bookmarkEnd w:id="2"/>
    </w:p>
    <w:p w14:paraId="61877EFF" w14:textId="77777777" w:rsidR="00014453" w:rsidRPr="00014453" w:rsidRDefault="00014453" w:rsidP="00014453">
      <w:pPr>
        <w:spacing w:after="160" w:line="259" w:lineRule="auto"/>
        <w:rPr>
          <w:rFonts w:ascii="Tahoma" w:eastAsiaTheme="minorHAnsi" w:hAnsi="Tahoma" w:cs="Tahoma"/>
          <w:sz w:val="22"/>
          <w:szCs w:val="22"/>
          <w:lang w:val="es-ES" w:eastAsia="en-US"/>
        </w:rPr>
      </w:pPr>
      <w:r w:rsidRPr="00014453">
        <w:rPr>
          <w:rFonts w:ascii="Tahoma" w:eastAsiaTheme="minorHAnsi" w:hAnsi="Tahoma" w:cs="Tahoma"/>
          <w:sz w:val="22"/>
          <w:szCs w:val="22"/>
          <w:lang w:val="es-ES" w:eastAsia="en-US"/>
        </w:rPr>
        <w:t xml:space="preserve">Por zona geográfica, sí se observa una desigual incidencia de la crisis. En la mayoría de las comarcas, más del 60% de las empresas encuestadas han sufrido importantes disminuciones en la facturación, mientras que en la </w:t>
      </w:r>
      <w:proofErr w:type="spellStart"/>
      <w:r w:rsidRPr="00014453">
        <w:rPr>
          <w:rFonts w:ascii="Tahoma" w:eastAsiaTheme="minorHAnsi" w:hAnsi="Tahoma" w:cs="Tahoma"/>
          <w:sz w:val="22"/>
          <w:szCs w:val="22"/>
          <w:lang w:val="es-ES" w:eastAsia="en-US"/>
        </w:rPr>
        <w:t>Manchuela</w:t>
      </w:r>
      <w:proofErr w:type="spellEnd"/>
      <w:r w:rsidRPr="00014453">
        <w:rPr>
          <w:rFonts w:ascii="Tahoma" w:eastAsiaTheme="minorHAnsi" w:hAnsi="Tahoma" w:cs="Tahoma"/>
          <w:sz w:val="22"/>
          <w:szCs w:val="22"/>
          <w:lang w:val="es-ES" w:eastAsia="en-US"/>
        </w:rPr>
        <w:t xml:space="preserve"> y la Sierra del Segura ha sido del 52,9% y del 46,2% respectivamente.</w:t>
      </w:r>
    </w:p>
    <w:p w14:paraId="261FF520" w14:textId="77777777" w:rsidR="00014453" w:rsidRPr="00014453" w:rsidRDefault="00014453" w:rsidP="00014453">
      <w:pPr>
        <w:spacing w:after="160" w:line="259" w:lineRule="auto"/>
        <w:rPr>
          <w:rFonts w:ascii="Tahoma" w:eastAsiaTheme="minorHAnsi" w:hAnsi="Tahoma" w:cs="Tahoma"/>
          <w:sz w:val="22"/>
          <w:szCs w:val="22"/>
          <w:lang w:val="es-ES" w:eastAsia="en-US"/>
        </w:rPr>
      </w:pPr>
      <w:r w:rsidRPr="00014453">
        <w:rPr>
          <w:rFonts w:ascii="Tahoma" w:eastAsiaTheme="minorHAnsi" w:hAnsi="Tahoma" w:cs="Tahoma"/>
          <w:sz w:val="22"/>
          <w:szCs w:val="22"/>
          <w:lang w:val="es-ES" w:eastAsia="en-US"/>
        </w:rPr>
        <w:t xml:space="preserve">Sin embargo, la reducción de plantilla ha sido más acusada en las comarcas de La </w:t>
      </w:r>
      <w:proofErr w:type="spellStart"/>
      <w:r w:rsidRPr="00014453">
        <w:rPr>
          <w:rFonts w:ascii="Tahoma" w:eastAsiaTheme="minorHAnsi" w:hAnsi="Tahoma" w:cs="Tahoma"/>
          <w:sz w:val="22"/>
          <w:szCs w:val="22"/>
          <w:lang w:val="es-ES" w:eastAsia="en-US"/>
        </w:rPr>
        <w:t>Manchuela</w:t>
      </w:r>
      <w:proofErr w:type="spellEnd"/>
      <w:r w:rsidRPr="00014453">
        <w:rPr>
          <w:rFonts w:ascii="Tahoma" w:eastAsiaTheme="minorHAnsi" w:hAnsi="Tahoma" w:cs="Tahoma"/>
          <w:sz w:val="22"/>
          <w:szCs w:val="22"/>
          <w:lang w:val="es-ES" w:eastAsia="en-US"/>
        </w:rPr>
        <w:t xml:space="preserve"> y de los Llanos de Albacete.</w:t>
      </w:r>
    </w:p>
    <w:p w14:paraId="330B8319" w14:textId="77777777" w:rsidR="004170BC" w:rsidRDefault="004170BC" w:rsidP="00014453">
      <w:pPr>
        <w:keepNext/>
        <w:keepLines/>
        <w:spacing w:before="40" w:after="160" w:line="259" w:lineRule="auto"/>
        <w:outlineLvl w:val="1"/>
        <w:rPr>
          <w:rFonts w:ascii="Tahoma" w:eastAsiaTheme="majorEastAsia" w:hAnsi="Tahoma" w:cs="Tahoma"/>
          <w:b/>
          <w:sz w:val="22"/>
          <w:szCs w:val="22"/>
          <w:lang w:val="es-ES" w:eastAsia="en-US"/>
        </w:rPr>
      </w:pPr>
      <w:bookmarkStart w:id="3" w:name="_Toc66983935"/>
    </w:p>
    <w:p w14:paraId="5BB131F1" w14:textId="77777777" w:rsidR="00014453" w:rsidRPr="00014453" w:rsidRDefault="00014453" w:rsidP="00014453">
      <w:pPr>
        <w:keepNext/>
        <w:keepLines/>
        <w:spacing w:before="40" w:after="160" w:line="259" w:lineRule="auto"/>
        <w:outlineLvl w:val="1"/>
        <w:rPr>
          <w:rFonts w:ascii="Tahoma" w:eastAsiaTheme="minorHAnsi" w:hAnsi="Tahoma" w:cs="Tahoma"/>
          <w:sz w:val="22"/>
          <w:szCs w:val="22"/>
          <w:lang w:val="es-ES" w:eastAsia="en-US"/>
        </w:rPr>
      </w:pPr>
      <w:r w:rsidRPr="00014453">
        <w:rPr>
          <w:rFonts w:ascii="Tahoma" w:eastAsiaTheme="majorEastAsia" w:hAnsi="Tahoma" w:cs="Tahoma"/>
          <w:b/>
          <w:sz w:val="22"/>
          <w:szCs w:val="22"/>
          <w:lang w:val="es-ES" w:eastAsia="en-US"/>
        </w:rPr>
        <w:t>Impacto por tamaño de empresa</w:t>
      </w:r>
      <w:bookmarkEnd w:id="3"/>
    </w:p>
    <w:p w14:paraId="37D5DEEA" w14:textId="77777777" w:rsidR="00014453" w:rsidRPr="00014453" w:rsidRDefault="00014453" w:rsidP="00014453">
      <w:pPr>
        <w:spacing w:after="160" w:line="259" w:lineRule="auto"/>
        <w:rPr>
          <w:rFonts w:ascii="Tahoma" w:eastAsiaTheme="minorHAnsi" w:hAnsi="Tahoma" w:cs="Tahoma"/>
          <w:sz w:val="22"/>
          <w:szCs w:val="22"/>
          <w:lang w:val="es-ES" w:eastAsia="en-US"/>
        </w:rPr>
      </w:pPr>
      <w:r w:rsidRPr="00014453">
        <w:rPr>
          <w:rFonts w:ascii="Tahoma" w:eastAsiaTheme="minorHAnsi" w:hAnsi="Tahoma" w:cs="Tahoma"/>
          <w:sz w:val="22"/>
          <w:szCs w:val="22"/>
          <w:lang w:val="es-ES" w:eastAsia="en-US"/>
        </w:rPr>
        <w:t>Cabe señalar que el tamaño de empresa, en general, ha favorecido a aquellas con mayor número de trabajadores, tanto por facturación como por plantilla. Aparentemente, las mayores empresas son las que mejor han resistido el impacto de la crisis.</w:t>
      </w:r>
    </w:p>
    <w:p w14:paraId="22D59439" w14:textId="77777777" w:rsidR="00014453" w:rsidRPr="00014453" w:rsidRDefault="00014453" w:rsidP="00014453">
      <w:pPr>
        <w:spacing w:after="160" w:line="259" w:lineRule="auto"/>
        <w:rPr>
          <w:rFonts w:ascii="Tahoma" w:hAnsi="Tahoma" w:cs="Tahoma"/>
          <w:sz w:val="22"/>
          <w:szCs w:val="22"/>
        </w:rPr>
      </w:pPr>
      <w:r w:rsidRPr="00014453">
        <w:rPr>
          <w:rFonts w:ascii="Tahoma" w:hAnsi="Tahoma" w:cs="Tahoma"/>
          <w:sz w:val="22"/>
          <w:szCs w:val="22"/>
        </w:rPr>
        <w:t xml:space="preserve">El impacto de destrucción de empleo se ha centrado en las empresas de menos de 10 trabajadores, que representan la inmensa mayoría del tejido empresarial provincial, un 95,5% del total (Fuente: </w:t>
      </w:r>
      <w:proofErr w:type="spellStart"/>
      <w:r w:rsidRPr="00014453">
        <w:rPr>
          <w:rFonts w:ascii="Tahoma" w:hAnsi="Tahoma" w:cs="Tahoma"/>
          <w:sz w:val="22"/>
          <w:szCs w:val="22"/>
        </w:rPr>
        <w:t>Dirce</w:t>
      </w:r>
      <w:proofErr w:type="spellEnd"/>
      <w:r w:rsidRPr="00014453">
        <w:rPr>
          <w:rFonts w:ascii="Tahoma" w:hAnsi="Tahoma" w:cs="Tahoma"/>
          <w:sz w:val="22"/>
          <w:szCs w:val="22"/>
        </w:rPr>
        <w:t>-INE).</w:t>
      </w:r>
    </w:p>
    <w:p w14:paraId="76A400AE" w14:textId="77777777" w:rsidR="00014453" w:rsidRPr="00014453" w:rsidRDefault="00014453" w:rsidP="00014453">
      <w:pPr>
        <w:keepNext/>
        <w:keepLines/>
        <w:spacing w:before="240" w:after="160" w:line="259" w:lineRule="auto"/>
        <w:outlineLvl w:val="0"/>
        <w:rPr>
          <w:rFonts w:ascii="Tahoma" w:eastAsiaTheme="minorHAnsi" w:hAnsi="Tahoma" w:cs="Tahoma"/>
          <w:sz w:val="22"/>
          <w:szCs w:val="22"/>
          <w:lang w:val="es-ES" w:eastAsia="en-US"/>
        </w:rPr>
      </w:pPr>
      <w:bookmarkStart w:id="4" w:name="_Toc66983937"/>
      <w:r w:rsidRPr="00014453">
        <w:rPr>
          <w:rFonts w:ascii="Tahoma" w:eastAsiaTheme="majorEastAsia" w:hAnsi="Tahoma" w:cs="Tahoma"/>
          <w:b/>
          <w:sz w:val="22"/>
          <w:szCs w:val="22"/>
          <w:lang w:val="es-ES" w:eastAsia="en-US"/>
        </w:rPr>
        <w:t>Medidas de mantenimiento de la actividad empresarial</w:t>
      </w:r>
      <w:bookmarkEnd w:id="4"/>
    </w:p>
    <w:p w14:paraId="0CBB1956" w14:textId="77777777" w:rsidR="00014453" w:rsidRPr="00014453" w:rsidRDefault="00014453" w:rsidP="00014453">
      <w:pPr>
        <w:spacing w:after="160" w:line="259" w:lineRule="auto"/>
        <w:rPr>
          <w:rFonts w:ascii="Tahoma" w:eastAsiaTheme="minorHAnsi" w:hAnsi="Tahoma" w:cs="Tahoma"/>
          <w:sz w:val="22"/>
          <w:szCs w:val="22"/>
          <w:lang w:val="es-ES" w:eastAsia="en-US"/>
        </w:rPr>
      </w:pPr>
      <w:r w:rsidRPr="00014453">
        <w:rPr>
          <w:rFonts w:ascii="Tahoma" w:eastAsiaTheme="minorHAnsi" w:hAnsi="Tahoma" w:cs="Tahoma"/>
          <w:sz w:val="22"/>
          <w:szCs w:val="22"/>
          <w:lang w:val="es-ES" w:eastAsia="en-US"/>
        </w:rPr>
        <w:t>La supervivencia de nuestro tejido empresarial ha dependido en buena medida de los préstamos ICO, la flexibilización de los ERTES y de las ayudas recibidas de las diferentes administraciones.</w:t>
      </w:r>
    </w:p>
    <w:p w14:paraId="00C7B11E" w14:textId="77777777" w:rsidR="00014453" w:rsidRPr="00014453" w:rsidRDefault="00014453" w:rsidP="00014453">
      <w:pPr>
        <w:spacing w:after="160" w:line="259" w:lineRule="auto"/>
        <w:rPr>
          <w:rFonts w:ascii="Tahoma" w:eastAsiaTheme="minorHAnsi" w:hAnsi="Tahoma" w:cs="Tahoma"/>
          <w:sz w:val="22"/>
          <w:szCs w:val="22"/>
          <w:lang w:val="es-ES" w:eastAsia="en-US"/>
        </w:rPr>
      </w:pPr>
      <w:r w:rsidRPr="00014453">
        <w:rPr>
          <w:rFonts w:ascii="Tahoma" w:eastAsiaTheme="minorHAnsi" w:hAnsi="Tahoma" w:cs="Tahoma"/>
          <w:sz w:val="22"/>
          <w:szCs w:val="22"/>
          <w:lang w:val="es-ES" w:eastAsia="en-US"/>
        </w:rPr>
        <w:t>Sobre los préstamos ICO, y según datos del propio Instituto de Crédito Oficial, en 2020 se tramitaron un total de 9.666 avales para 6.061 empresas de la provincia por un montante total de 712,2 millones de euros, que respaldaron créditos por un total de 901,9 millones de euros. En el 2020, un 23% de nuestras empresas y autónomos han recurrido a este sistema de financiación (26.350 empresas en la provincia según informe INE 4º trimestre 2020).</w:t>
      </w:r>
    </w:p>
    <w:p w14:paraId="07E27A35" w14:textId="77777777" w:rsidR="00014453" w:rsidRPr="00014453" w:rsidRDefault="00014453" w:rsidP="00014453">
      <w:pPr>
        <w:spacing w:after="160" w:line="259" w:lineRule="auto"/>
        <w:rPr>
          <w:rFonts w:ascii="Tahoma" w:eastAsiaTheme="minorHAnsi" w:hAnsi="Tahoma" w:cs="Tahoma"/>
          <w:sz w:val="22"/>
          <w:szCs w:val="22"/>
          <w:lang w:val="es-ES" w:eastAsia="en-US"/>
        </w:rPr>
      </w:pPr>
      <w:r w:rsidRPr="00014453">
        <w:rPr>
          <w:rFonts w:ascii="Tahoma" w:eastAsiaTheme="minorHAnsi" w:hAnsi="Tahoma" w:cs="Tahoma"/>
          <w:sz w:val="22"/>
          <w:szCs w:val="22"/>
          <w:lang w:val="es-ES" w:eastAsia="en-US"/>
        </w:rPr>
        <w:t>Como complemento a la financiación bancaria, de las respuestas obtenidas, se deduce que más de un 44,1% recurrió a algún tipo de medida de ajuste de plantilla, siendo este un factor crítico para la supervivencia de los negocios.</w:t>
      </w:r>
    </w:p>
    <w:p w14:paraId="16770079" w14:textId="77777777" w:rsidR="00014453" w:rsidRPr="00014453" w:rsidRDefault="00014453" w:rsidP="00014453">
      <w:pPr>
        <w:spacing w:after="160" w:line="259" w:lineRule="auto"/>
        <w:rPr>
          <w:rFonts w:ascii="Tahoma" w:eastAsiaTheme="minorHAnsi" w:hAnsi="Tahoma" w:cs="Tahoma"/>
          <w:sz w:val="22"/>
          <w:szCs w:val="22"/>
          <w:lang w:val="es-ES" w:eastAsia="en-US"/>
        </w:rPr>
      </w:pPr>
      <w:r w:rsidRPr="00014453">
        <w:rPr>
          <w:rFonts w:ascii="Tahoma" w:eastAsiaTheme="minorHAnsi" w:hAnsi="Tahoma" w:cs="Tahoma"/>
          <w:sz w:val="22"/>
          <w:szCs w:val="22"/>
          <w:lang w:val="es-ES" w:eastAsia="en-US"/>
        </w:rPr>
        <w:t xml:space="preserve">De entre las medidas de ajuste recurridas, destaca los </w:t>
      </w:r>
      <w:proofErr w:type="spellStart"/>
      <w:r w:rsidRPr="00014453">
        <w:rPr>
          <w:rFonts w:ascii="Tahoma" w:eastAsiaTheme="minorHAnsi" w:hAnsi="Tahoma" w:cs="Tahoma"/>
          <w:sz w:val="22"/>
          <w:szCs w:val="22"/>
          <w:lang w:val="es-ES" w:eastAsia="en-US"/>
        </w:rPr>
        <w:t>ERTEs</w:t>
      </w:r>
      <w:proofErr w:type="spellEnd"/>
      <w:r w:rsidRPr="00014453">
        <w:rPr>
          <w:rFonts w:ascii="Tahoma" w:eastAsiaTheme="minorHAnsi" w:hAnsi="Tahoma" w:cs="Tahoma"/>
          <w:sz w:val="22"/>
          <w:szCs w:val="22"/>
          <w:lang w:val="es-ES" w:eastAsia="en-US"/>
        </w:rPr>
        <w:t xml:space="preserve"> de suspensión de contratos, que han sido adoptados por un 23,9% de las empresas encuestadas.</w:t>
      </w:r>
    </w:p>
    <w:p w14:paraId="6E59F04B" w14:textId="77777777" w:rsidR="004170BC" w:rsidRDefault="00014453" w:rsidP="004170BC">
      <w:pPr>
        <w:spacing w:after="160" w:line="259" w:lineRule="auto"/>
        <w:rPr>
          <w:rFonts w:ascii="Tahoma" w:eastAsiaTheme="minorHAnsi" w:hAnsi="Tahoma" w:cs="Tahoma"/>
          <w:sz w:val="22"/>
          <w:szCs w:val="22"/>
          <w:lang w:val="es-ES" w:eastAsia="en-US"/>
        </w:rPr>
      </w:pPr>
      <w:r w:rsidRPr="00014453">
        <w:rPr>
          <w:rFonts w:ascii="Tahoma" w:eastAsiaTheme="minorHAnsi" w:hAnsi="Tahoma" w:cs="Tahoma"/>
          <w:sz w:val="22"/>
          <w:szCs w:val="22"/>
          <w:lang w:val="es-ES" w:eastAsia="en-US"/>
        </w:rPr>
        <w:t>Finalmente, en cuanto a las ayudas recibidas, fue más de un 51% de las pymes y autónomos las que han recibido algún tipo de ayuda de la Administración para superar la situación. Del total de respuestas, más de 31% ha recibido ayudas regionales.</w:t>
      </w:r>
      <w:bookmarkStart w:id="5" w:name="_Toc66983938"/>
    </w:p>
    <w:p w14:paraId="0B6456A3" w14:textId="77777777" w:rsidR="00014453" w:rsidRPr="00014453" w:rsidRDefault="00014453" w:rsidP="004170BC">
      <w:pPr>
        <w:spacing w:after="160" w:line="259" w:lineRule="auto"/>
        <w:rPr>
          <w:rFonts w:ascii="Tahoma" w:eastAsiaTheme="minorHAnsi" w:hAnsi="Tahoma" w:cs="Tahoma"/>
          <w:sz w:val="22"/>
          <w:szCs w:val="22"/>
          <w:lang w:val="es-ES" w:eastAsia="en-US"/>
        </w:rPr>
      </w:pPr>
      <w:r w:rsidRPr="00014453">
        <w:rPr>
          <w:rFonts w:ascii="Tahoma" w:eastAsiaTheme="majorEastAsia" w:hAnsi="Tahoma" w:cs="Tahoma"/>
          <w:b/>
          <w:sz w:val="22"/>
          <w:szCs w:val="22"/>
          <w:lang w:val="es-ES" w:eastAsia="en-US"/>
        </w:rPr>
        <w:t>Actuación inspectora</w:t>
      </w:r>
      <w:bookmarkEnd w:id="5"/>
    </w:p>
    <w:p w14:paraId="235C5DF2" w14:textId="77777777" w:rsidR="00014453" w:rsidRPr="00014453" w:rsidRDefault="00014453" w:rsidP="00014453">
      <w:pPr>
        <w:spacing w:after="160" w:line="259" w:lineRule="auto"/>
        <w:rPr>
          <w:rFonts w:ascii="Tahoma" w:eastAsiaTheme="minorHAnsi" w:hAnsi="Tahoma" w:cs="Tahoma"/>
          <w:sz w:val="22"/>
          <w:szCs w:val="22"/>
          <w:lang w:val="es-ES" w:eastAsia="en-US"/>
        </w:rPr>
      </w:pPr>
      <w:r w:rsidRPr="00014453">
        <w:rPr>
          <w:rFonts w:ascii="Tahoma" w:eastAsiaTheme="minorHAnsi" w:hAnsi="Tahoma" w:cs="Tahoma"/>
          <w:sz w:val="22"/>
          <w:szCs w:val="22"/>
          <w:lang w:val="es-ES" w:eastAsia="en-US"/>
        </w:rPr>
        <w:t>En el estudio se ha sondeado la opinión de empresas y autónomos sobre la actuación inspectora. Se ha constatado a través de la encuesta, tanto cualitativa como cuantitativamente, una alta incidencia de las inspecciones, el 29,7% de las empresas encuestadas han sido objeto de alguna inspección a lo largo del año pasado.</w:t>
      </w:r>
    </w:p>
    <w:p w14:paraId="298CBF44" w14:textId="77777777" w:rsidR="00014453" w:rsidRPr="00014453" w:rsidRDefault="00014453" w:rsidP="00014453">
      <w:pPr>
        <w:spacing w:after="160" w:line="259" w:lineRule="auto"/>
        <w:rPr>
          <w:rFonts w:ascii="Tahoma" w:eastAsiaTheme="minorHAnsi" w:hAnsi="Tahoma" w:cs="Tahoma"/>
          <w:sz w:val="22"/>
          <w:szCs w:val="22"/>
          <w:lang w:val="es-ES" w:eastAsia="en-US"/>
        </w:rPr>
      </w:pPr>
      <w:r w:rsidRPr="00014453">
        <w:rPr>
          <w:rFonts w:ascii="Tahoma" w:eastAsiaTheme="minorHAnsi" w:hAnsi="Tahoma" w:cs="Tahoma"/>
          <w:sz w:val="22"/>
          <w:szCs w:val="22"/>
          <w:lang w:val="es-ES" w:eastAsia="en-US"/>
        </w:rPr>
        <w:t>En general, un 65,3% de las empresas considera que la actuación inspectora es adecuada o insuficiente. En las respuestas abiertas sobre este asunto destaca el comentario generalizado de la falta de atención que la inspección pone sobre los negocios ilegales.</w:t>
      </w:r>
    </w:p>
    <w:p w14:paraId="17926FF1" w14:textId="77777777" w:rsidR="00014453" w:rsidRPr="00284ED3" w:rsidRDefault="00014453" w:rsidP="00014453">
      <w:pPr>
        <w:rPr>
          <w:rFonts w:ascii="Tahoma" w:eastAsiaTheme="minorHAnsi" w:hAnsi="Tahoma" w:cs="Tahoma"/>
          <w:sz w:val="22"/>
          <w:szCs w:val="22"/>
          <w:lang w:val="es-ES" w:eastAsia="en-US"/>
        </w:rPr>
      </w:pPr>
      <w:r w:rsidRPr="00014453">
        <w:rPr>
          <w:rFonts w:ascii="Tahoma" w:eastAsiaTheme="minorHAnsi" w:hAnsi="Tahoma" w:cs="Tahoma"/>
          <w:sz w:val="22"/>
          <w:szCs w:val="22"/>
          <w:lang w:val="es-ES" w:eastAsia="en-US"/>
        </w:rPr>
        <w:t>Según las respuestas, la mayor parte de las inspecciones han sido en materia de trabajo y seguridad social, seguidas de sanidad. Los sectores que más presión inspectora han soportado han sido los de hostelería, industria y agricultura. Cabe mencionar que más del 10% de las empresas de los sectores de industria y de otros servicios considera la actividad inspectora insuficiente, hecho que podría asociarse a una mayor incidencia la economía sumergida, el intrusismo y la competencia desleal.</w:t>
      </w:r>
    </w:p>
    <w:p w14:paraId="67DD3B07" w14:textId="77777777" w:rsidR="004170BC" w:rsidRDefault="004170BC" w:rsidP="00014453">
      <w:pPr>
        <w:keepNext/>
        <w:keepLines/>
        <w:spacing w:before="240" w:after="160" w:line="259" w:lineRule="auto"/>
        <w:outlineLvl w:val="0"/>
        <w:rPr>
          <w:rFonts w:ascii="Tahoma" w:eastAsiaTheme="majorEastAsia" w:hAnsi="Tahoma" w:cs="Tahoma"/>
          <w:b/>
          <w:sz w:val="22"/>
          <w:szCs w:val="22"/>
          <w:lang w:val="es-ES" w:eastAsia="en-US"/>
        </w:rPr>
      </w:pPr>
      <w:bookmarkStart w:id="6" w:name="_Toc66983936"/>
    </w:p>
    <w:p w14:paraId="2D2E6A83" w14:textId="77777777" w:rsidR="00014453" w:rsidRPr="00014453" w:rsidRDefault="00014453" w:rsidP="00014453">
      <w:pPr>
        <w:keepNext/>
        <w:keepLines/>
        <w:spacing w:before="240" w:after="160" w:line="259" w:lineRule="auto"/>
        <w:outlineLvl w:val="0"/>
        <w:rPr>
          <w:rFonts w:ascii="Tahoma" w:eastAsiaTheme="minorHAnsi" w:hAnsi="Tahoma" w:cs="Tahoma"/>
          <w:sz w:val="22"/>
          <w:szCs w:val="22"/>
          <w:lang w:val="es-ES" w:eastAsia="en-US"/>
        </w:rPr>
      </w:pPr>
      <w:r w:rsidRPr="00014453">
        <w:rPr>
          <w:rFonts w:ascii="Tahoma" w:eastAsiaTheme="majorEastAsia" w:hAnsi="Tahoma" w:cs="Tahoma"/>
          <w:b/>
          <w:sz w:val="22"/>
          <w:szCs w:val="22"/>
          <w:lang w:val="es-ES" w:eastAsia="en-US"/>
        </w:rPr>
        <w:t>Previsiones para el 2021</w:t>
      </w:r>
      <w:bookmarkEnd w:id="6"/>
    </w:p>
    <w:p w14:paraId="68B8FDCD" w14:textId="77777777" w:rsidR="00014453" w:rsidRPr="00014453" w:rsidRDefault="00014453" w:rsidP="00014453">
      <w:pPr>
        <w:spacing w:after="160" w:line="259" w:lineRule="auto"/>
        <w:rPr>
          <w:rFonts w:ascii="Tahoma" w:eastAsiaTheme="minorHAnsi" w:hAnsi="Tahoma" w:cs="Tahoma"/>
          <w:sz w:val="22"/>
          <w:szCs w:val="22"/>
          <w:lang w:val="es-ES" w:eastAsia="en-US"/>
        </w:rPr>
      </w:pPr>
      <w:r w:rsidRPr="00014453">
        <w:rPr>
          <w:rFonts w:ascii="Tahoma" w:eastAsiaTheme="minorHAnsi" w:hAnsi="Tahoma" w:cs="Tahoma"/>
          <w:sz w:val="22"/>
          <w:szCs w:val="22"/>
          <w:lang w:val="es-ES" w:eastAsia="en-US"/>
        </w:rPr>
        <w:t>La previsión de pymes y autónomos para el 2021 es positiva aunque con reservas. En cuanto a facturación, casi un 80% piensa que el 2021 será igual o mejor que el 2020. No obstante, se observa ciertas diferencias por sectores, siendo los sectores de hostelería y transportes los más pesimistas.</w:t>
      </w:r>
    </w:p>
    <w:p w14:paraId="1BED95FD" w14:textId="77777777" w:rsidR="00014453" w:rsidRPr="00014453" w:rsidRDefault="00014453" w:rsidP="00014453">
      <w:pPr>
        <w:spacing w:after="160" w:line="259" w:lineRule="auto"/>
        <w:rPr>
          <w:rFonts w:ascii="Tahoma" w:eastAsiaTheme="minorHAnsi" w:hAnsi="Tahoma" w:cs="Tahoma"/>
          <w:sz w:val="22"/>
          <w:szCs w:val="22"/>
          <w:lang w:val="es-ES" w:eastAsia="en-US"/>
        </w:rPr>
      </w:pPr>
      <w:r w:rsidRPr="00014453">
        <w:rPr>
          <w:rFonts w:ascii="Tahoma" w:eastAsiaTheme="minorHAnsi" w:hAnsi="Tahoma" w:cs="Tahoma"/>
          <w:sz w:val="22"/>
          <w:szCs w:val="22"/>
          <w:lang w:val="es-ES" w:eastAsia="en-US"/>
        </w:rPr>
        <w:t>En términos de previsión de contratación de personal, un 90,2% prevé mantener o aumentar sus equipos, siendo los sectores de construcción y agricultura los más optimistas.</w:t>
      </w:r>
    </w:p>
    <w:p w14:paraId="049FCFB3" w14:textId="77777777" w:rsidR="00014453" w:rsidRPr="00014453" w:rsidRDefault="00014453" w:rsidP="00014453">
      <w:pPr>
        <w:spacing w:after="160" w:line="259" w:lineRule="auto"/>
        <w:rPr>
          <w:rFonts w:ascii="Tahoma" w:eastAsiaTheme="minorHAnsi" w:hAnsi="Tahoma" w:cs="Tahoma"/>
          <w:sz w:val="22"/>
          <w:szCs w:val="22"/>
          <w:lang w:val="es-ES" w:eastAsia="en-US"/>
        </w:rPr>
      </w:pPr>
      <w:r w:rsidRPr="00014453">
        <w:rPr>
          <w:rFonts w:ascii="Tahoma" w:eastAsiaTheme="minorHAnsi" w:hAnsi="Tahoma" w:cs="Tahoma"/>
          <w:sz w:val="22"/>
          <w:szCs w:val="22"/>
          <w:lang w:val="es-ES" w:eastAsia="en-US"/>
        </w:rPr>
        <w:t>En cuando al tamaño de las empresas, no se puede establecer un patrón claro de distribuciones sobre la previsión de facturación aunque la tendencia apunta a que las empresas con más trabajadores son más optimistas en el aumento de la facturación.</w:t>
      </w:r>
    </w:p>
    <w:p w14:paraId="515DAE4F" w14:textId="77777777" w:rsidR="00821F56" w:rsidRDefault="00821F56" w:rsidP="00014453">
      <w:pPr>
        <w:spacing w:after="160" w:line="259" w:lineRule="auto"/>
      </w:pPr>
      <w:r>
        <w:t>Sin embargo, sí se observa que las empresas de mayor volumen son las que tienen mejores previsiones en cuanto a la generación de empleo.</w:t>
      </w:r>
    </w:p>
    <w:p w14:paraId="6336AC58" w14:textId="559F0A5E" w:rsidR="00014453" w:rsidRDefault="00014453" w:rsidP="00014453">
      <w:pPr>
        <w:spacing w:after="160" w:line="259" w:lineRule="auto"/>
        <w:rPr>
          <w:rFonts w:ascii="Tahoma" w:eastAsiaTheme="minorHAnsi" w:hAnsi="Tahoma" w:cs="Tahoma"/>
          <w:sz w:val="22"/>
          <w:szCs w:val="22"/>
          <w:lang w:val="es-ES" w:eastAsia="en-US"/>
        </w:rPr>
      </w:pPr>
      <w:r w:rsidRPr="00014453">
        <w:rPr>
          <w:rFonts w:ascii="Tahoma" w:eastAsiaTheme="minorHAnsi" w:hAnsi="Tahoma" w:cs="Tahoma"/>
          <w:sz w:val="22"/>
          <w:szCs w:val="22"/>
          <w:lang w:val="es-ES" w:eastAsia="en-US"/>
        </w:rPr>
        <w:t>Analizando los datos de previsiones según el ámbito geográfico, encontramos que las empresas de las comarcas de la Sierra del Segura y de Campos de Hellín son las más optimistas en relación con la previsión de facturación y de mantenimiento de la plantilla.</w:t>
      </w:r>
    </w:p>
    <w:p w14:paraId="437EAA60" w14:textId="77777777" w:rsidR="00014453" w:rsidRDefault="00014453" w:rsidP="00014453">
      <w:pPr>
        <w:spacing w:after="160" w:line="259" w:lineRule="auto"/>
        <w:rPr>
          <w:rFonts w:ascii="Tahoma" w:eastAsiaTheme="minorHAnsi" w:hAnsi="Tahoma" w:cs="Tahoma"/>
          <w:b/>
          <w:sz w:val="22"/>
          <w:szCs w:val="22"/>
          <w:lang w:val="es-ES" w:eastAsia="en-US"/>
        </w:rPr>
      </w:pPr>
      <w:r w:rsidRPr="00014453">
        <w:rPr>
          <w:rFonts w:ascii="Tahoma" w:eastAsiaTheme="minorHAnsi" w:hAnsi="Tahoma" w:cs="Tahoma"/>
          <w:b/>
          <w:sz w:val="22"/>
          <w:szCs w:val="22"/>
          <w:lang w:val="es-ES" w:eastAsia="en-US"/>
        </w:rPr>
        <w:t>Cautela antes las previsiones</w:t>
      </w:r>
    </w:p>
    <w:p w14:paraId="6D5AFFC3" w14:textId="77777777" w:rsidR="00014453" w:rsidRPr="00014453" w:rsidRDefault="00014453" w:rsidP="004170BC">
      <w:pPr>
        <w:shd w:val="clear" w:color="auto" w:fill="FFFFFF"/>
        <w:spacing w:after="195"/>
        <w:textAlignment w:val="baseline"/>
        <w:rPr>
          <w:rFonts w:ascii="Tahoma" w:hAnsi="Tahoma" w:cs="Tahoma"/>
          <w:sz w:val="22"/>
          <w:szCs w:val="22"/>
          <w:lang w:val="es-ES"/>
        </w:rPr>
      </w:pPr>
      <w:r w:rsidRPr="00014453">
        <w:rPr>
          <w:rFonts w:ascii="Tahoma" w:hAnsi="Tahoma" w:cs="Tahoma"/>
          <w:sz w:val="22"/>
          <w:szCs w:val="22"/>
          <w:lang w:val="es-ES"/>
        </w:rPr>
        <w:t>Durante la presentación del Barómetro Empresarial, el presidente de FEDA, Artemio Pérez, ha valorado de forma positiva el optimismo con el que el tejido empresarial afronta el 2021 motivado, en gran parte, por las ayudas que llegarán a la provincia a través de los fondos europeos.</w:t>
      </w:r>
      <w:r w:rsidR="004170BC">
        <w:rPr>
          <w:rFonts w:ascii="Tahoma" w:hAnsi="Tahoma" w:cs="Tahoma"/>
          <w:sz w:val="22"/>
          <w:szCs w:val="22"/>
          <w:lang w:val="es-ES"/>
        </w:rPr>
        <w:t xml:space="preserve"> Pero al mismo tiempo ha sido prudente, “el año acaba de empezar y queda por ver si frenamos definitivamente el virus, no tiene que haber más restricciones y la vacunación se va haciendo masiva”.</w:t>
      </w:r>
    </w:p>
    <w:p w14:paraId="5712C257" w14:textId="77777777" w:rsidR="00014453" w:rsidRPr="00014453" w:rsidRDefault="004170BC" w:rsidP="004170BC">
      <w:pPr>
        <w:shd w:val="clear" w:color="auto" w:fill="FFFFFF"/>
        <w:spacing w:after="195"/>
        <w:textAlignment w:val="baseline"/>
        <w:rPr>
          <w:rFonts w:ascii="Tahoma" w:hAnsi="Tahoma" w:cs="Tahoma"/>
          <w:sz w:val="22"/>
          <w:szCs w:val="22"/>
          <w:lang w:val="es-ES"/>
        </w:rPr>
      </w:pPr>
      <w:r>
        <w:rPr>
          <w:rFonts w:ascii="Tahoma" w:hAnsi="Tahoma" w:cs="Tahoma"/>
          <w:sz w:val="22"/>
          <w:szCs w:val="22"/>
          <w:lang w:val="es-ES"/>
        </w:rPr>
        <w:t xml:space="preserve">Al mismo tiempo, el presidente de FEDA </w:t>
      </w:r>
      <w:r w:rsidR="00014453" w:rsidRPr="00014453">
        <w:rPr>
          <w:rFonts w:ascii="Tahoma" w:hAnsi="Tahoma" w:cs="Tahoma"/>
          <w:sz w:val="22"/>
          <w:szCs w:val="22"/>
          <w:lang w:val="es-ES"/>
        </w:rPr>
        <w:t>ha pedido que las ayudas “lleguen pronto y a los sectores más desfavorecidos”, ha recordado que las cantidades “no son suficientes” ya que a la provincia de Albacete llegarán 51 millones que no podrán paliar las pérdidas de 740 millones de euros sufridas durante los últimos meses.</w:t>
      </w:r>
      <w:r>
        <w:rPr>
          <w:rFonts w:ascii="Tahoma" w:hAnsi="Tahoma" w:cs="Tahoma"/>
          <w:sz w:val="22"/>
          <w:szCs w:val="22"/>
          <w:lang w:val="es-ES"/>
        </w:rPr>
        <w:t xml:space="preserve"> Y ha r</w:t>
      </w:r>
      <w:r w:rsidR="00014453" w:rsidRPr="00014453">
        <w:rPr>
          <w:rFonts w:ascii="Tahoma" w:hAnsi="Tahoma" w:cs="Tahoma"/>
          <w:sz w:val="22"/>
          <w:szCs w:val="22"/>
          <w:lang w:val="es-ES"/>
        </w:rPr>
        <w:t>ecordado que “hay sectores muy afectados que no pueden acceder a esas ayudas” debido a los requisitos requeridos.</w:t>
      </w:r>
      <w:r>
        <w:rPr>
          <w:rFonts w:ascii="Tahoma" w:hAnsi="Tahoma" w:cs="Tahoma"/>
          <w:sz w:val="22"/>
          <w:szCs w:val="22"/>
          <w:lang w:val="es-ES"/>
        </w:rPr>
        <w:t xml:space="preserve"> </w:t>
      </w:r>
      <w:r w:rsidR="00014453" w:rsidRPr="00014453">
        <w:rPr>
          <w:rFonts w:ascii="Tahoma" w:hAnsi="Tahoma" w:cs="Tahoma"/>
          <w:sz w:val="22"/>
          <w:szCs w:val="22"/>
          <w:lang w:val="es-ES"/>
        </w:rPr>
        <w:t>Así, ha indicado que “miles de empresas no podrán acceder a las ayudas porque su facturación no ha caído más de un 30%, como así lo pide el primer requisito”, pidiendo a las administraciones que “rectifiquen esos criterios para evitar que muchas empresas mueran y no se consuman las ayudas”, ha concluido el presidente de FEDA, Artemio Pérez.</w:t>
      </w:r>
    </w:p>
    <w:p w14:paraId="05B67008" w14:textId="77777777" w:rsidR="00014453" w:rsidRPr="00014453" w:rsidRDefault="00014453" w:rsidP="00014453">
      <w:pPr>
        <w:spacing w:after="160" w:line="259" w:lineRule="auto"/>
        <w:rPr>
          <w:rFonts w:ascii="Tahoma" w:eastAsiaTheme="minorHAnsi" w:hAnsi="Tahoma" w:cs="Tahoma"/>
          <w:b/>
          <w:sz w:val="22"/>
          <w:szCs w:val="22"/>
          <w:lang w:val="es-ES" w:eastAsia="en-US"/>
        </w:rPr>
      </w:pPr>
    </w:p>
    <w:p w14:paraId="42F49003" w14:textId="77777777" w:rsidR="00014453" w:rsidRPr="00014453" w:rsidRDefault="00014453" w:rsidP="00014453">
      <w:pPr>
        <w:spacing w:after="160" w:line="259" w:lineRule="auto"/>
        <w:rPr>
          <w:rFonts w:ascii="Tahoma" w:eastAsiaTheme="minorHAnsi" w:hAnsi="Tahoma" w:cs="Tahoma"/>
          <w:sz w:val="22"/>
          <w:szCs w:val="22"/>
          <w:lang w:val="es-ES" w:eastAsia="en-US"/>
        </w:rPr>
      </w:pPr>
    </w:p>
    <w:p w14:paraId="3B45AA44" w14:textId="77777777" w:rsidR="00284ED3" w:rsidRPr="00284ED3" w:rsidRDefault="00284ED3" w:rsidP="00014453">
      <w:pPr>
        <w:spacing w:after="160" w:line="259" w:lineRule="auto"/>
        <w:rPr>
          <w:rFonts w:ascii="Tahoma" w:eastAsiaTheme="minorHAnsi" w:hAnsi="Tahoma" w:cs="Tahoma"/>
          <w:sz w:val="22"/>
          <w:szCs w:val="22"/>
          <w:lang w:val="es-ES" w:eastAsia="en-US"/>
        </w:rPr>
      </w:pPr>
    </w:p>
    <w:p w14:paraId="7AA1D11C" w14:textId="77777777" w:rsidR="00284ED3" w:rsidRPr="00014453" w:rsidRDefault="00284ED3" w:rsidP="00014453">
      <w:pPr>
        <w:rPr>
          <w:rFonts w:ascii="Tahoma" w:hAnsi="Tahoma" w:cs="Tahoma"/>
          <w:sz w:val="22"/>
          <w:szCs w:val="22"/>
          <w:shd w:val="clear" w:color="auto" w:fill="FFFFFF"/>
        </w:rPr>
      </w:pPr>
    </w:p>
    <w:p w14:paraId="2CE01A48" w14:textId="77777777" w:rsidR="00994B40" w:rsidRPr="00014453" w:rsidRDefault="00994B40" w:rsidP="00014453">
      <w:pPr>
        <w:rPr>
          <w:rFonts w:ascii="Tahoma" w:hAnsi="Tahoma" w:cs="Tahoma"/>
          <w:sz w:val="22"/>
          <w:szCs w:val="22"/>
          <w:shd w:val="clear" w:color="auto" w:fill="FFFFFF"/>
        </w:rPr>
      </w:pPr>
    </w:p>
    <w:p w14:paraId="2C5D006B" w14:textId="77777777" w:rsidR="0051771D" w:rsidRPr="00014453" w:rsidRDefault="0051771D" w:rsidP="00014453">
      <w:pPr>
        <w:rPr>
          <w:rFonts w:ascii="Tahoma" w:hAnsi="Tahoma" w:cs="Tahoma"/>
          <w:color w:val="000000"/>
          <w:sz w:val="22"/>
          <w:szCs w:val="22"/>
          <w:lang w:eastAsia="es-ES_tradnl"/>
        </w:rPr>
      </w:pPr>
    </w:p>
    <w:sectPr w:rsidR="0051771D" w:rsidRPr="00014453" w:rsidSect="000D4D85">
      <w:headerReference w:type="default" r:id="rId11"/>
      <w:footerReference w:type="even" r:id="rId12"/>
      <w:footerReference w:type="default" r:id="rId13"/>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F75107" w14:textId="77777777" w:rsidR="00CA619B" w:rsidRDefault="00CA619B">
      <w:r>
        <w:separator/>
      </w:r>
    </w:p>
  </w:endnote>
  <w:endnote w:type="continuationSeparator" w:id="0">
    <w:p w14:paraId="1C3FE237"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889F80"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2D5BD070"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A66F9E"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5A5289">
      <w:rPr>
        <w:rStyle w:val="Nmerodepgina"/>
        <w:noProof/>
        <w:sz w:val="11"/>
        <w:szCs w:val="11"/>
      </w:rPr>
      <w:t>1</w:t>
    </w:r>
    <w:r>
      <w:rPr>
        <w:rStyle w:val="Nmerodepgina"/>
        <w:sz w:val="11"/>
        <w:szCs w:val="11"/>
      </w:rPr>
      <w:fldChar w:fldCharType="end"/>
    </w:r>
  </w:p>
  <w:p w14:paraId="6B14E3FA"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5F6F968E" wp14:editId="56EFBA8C">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45D47B74" wp14:editId="0390EEE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532608CB"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14:paraId="752C3DFE"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6A28EA21" wp14:editId="3EAADD43">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BF7350C" wp14:editId="15BAE1CE">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3A52ABC7" w14:textId="77777777" w:rsidR="00A90926" w:rsidRPr="009B267A" w:rsidRDefault="00821F56"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1094CBCF"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5A5289"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14:paraId="1B7AD719"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3D756A83" wp14:editId="5C83F2CA">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4D0608FF" wp14:editId="7B9401C3">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7814A1F4" wp14:editId="4A96014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D77DD96" w14:textId="77777777" w:rsidR="00A90926" w:rsidRPr="00C00842" w:rsidRDefault="00821F56"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5A5289"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77BAFEF0" wp14:editId="5BD345B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87065C6" w14:textId="77777777" w:rsidR="00A90926" w:rsidRPr="00C00842" w:rsidRDefault="00821F56"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5A5289"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E5CE8F" w14:textId="77777777" w:rsidR="00CA619B" w:rsidRDefault="00CA619B">
      <w:r>
        <w:separator/>
      </w:r>
    </w:p>
  </w:footnote>
  <w:footnote w:type="continuationSeparator" w:id="0">
    <w:p w14:paraId="4C80A72F"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2911AE"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5D891D8F" wp14:editId="703FECE2">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3697EA65"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7D0808A4"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3840879F"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DAC3A0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E8421CC"/>
    <w:multiLevelType w:val="hybridMultilevel"/>
    <w:tmpl w:val="89F865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EC37FD1"/>
    <w:multiLevelType w:val="hybridMultilevel"/>
    <w:tmpl w:val="A0B012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13E2F83"/>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02C62D0"/>
    <w:multiLevelType w:val="hybridMultilevel"/>
    <w:tmpl w:val="4844A9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54F6E0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AF10936"/>
    <w:multiLevelType w:val="hybridMultilevel"/>
    <w:tmpl w:val="08E6A4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AF6500C"/>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8E449A2"/>
    <w:multiLevelType w:val="hybridMultilevel"/>
    <w:tmpl w:val="0DE67D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DEA6D58"/>
    <w:multiLevelType w:val="hybridMultilevel"/>
    <w:tmpl w:val="A7CA7B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F4032C5"/>
    <w:multiLevelType w:val="hybridMultilevel"/>
    <w:tmpl w:val="E92E41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33A3A37"/>
    <w:multiLevelType w:val="hybridMultilevel"/>
    <w:tmpl w:val="0FB63A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1">
    <w:nsid w:val="509B01DE"/>
    <w:multiLevelType w:val="hybridMultilevel"/>
    <w:tmpl w:val="BAD4D3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1" w15:restartNumberingAfterBreak="0">
    <w:nsid w:val="6DBD3375"/>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E353511"/>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0"/>
  </w:num>
  <w:num w:numId="2">
    <w:abstractNumId w:val="6"/>
  </w:num>
  <w:num w:numId="3">
    <w:abstractNumId w:val="2"/>
  </w:num>
  <w:num w:numId="4">
    <w:abstractNumId w:val="1"/>
  </w:num>
  <w:num w:numId="5">
    <w:abstractNumId w:val="0"/>
  </w:num>
  <w:num w:numId="6">
    <w:abstractNumId w:val="17"/>
  </w:num>
  <w:num w:numId="7">
    <w:abstractNumId w:val="19"/>
  </w:num>
  <w:num w:numId="8">
    <w:abstractNumId w:val="16"/>
  </w:num>
  <w:num w:numId="9">
    <w:abstractNumId w:val="9"/>
  </w:num>
  <w:num w:numId="10">
    <w:abstractNumId w:val="11"/>
  </w:num>
  <w:num w:numId="11">
    <w:abstractNumId w:val="8"/>
  </w:num>
  <w:num w:numId="12">
    <w:abstractNumId w:val="15"/>
  </w:num>
  <w:num w:numId="13">
    <w:abstractNumId w:val="18"/>
  </w:num>
  <w:num w:numId="14">
    <w:abstractNumId w:val="13"/>
  </w:num>
  <w:num w:numId="15">
    <w:abstractNumId w:val="7"/>
  </w:num>
  <w:num w:numId="16">
    <w:abstractNumId w:val="14"/>
  </w:num>
  <w:num w:numId="17">
    <w:abstractNumId w:val="10"/>
  </w:num>
  <w:num w:numId="18">
    <w:abstractNumId w:val="21"/>
  </w:num>
  <w:num w:numId="19">
    <w:abstractNumId w:val="22"/>
  </w:num>
  <w:num w:numId="20">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4B4"/>
    <w:rsid w:val="00007D0B"/>
    <w:rsid w:val="00007D32"/>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64B5"/>
    <w:rsid w:val="0008682D"/>
    <w:rsid w:val="000871B2"/>
    <w:rsid w:val="00092BC3"/>
    <w:rsid w:val="00093080"/>
    <w:rsid w:val="00093E3A"/>
    <w:rsid w:val="000946EF"/>
    <w:rsid w:val="0009485C"/>
    <w:rsid w:val="000949FC"/>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144E"/>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17D"/>
    <w:rsid w:val="00244974"/>
    <w:rsid w:val="00244F7B"/>
    <w:rsid w:val="0024502D"/>
    <w:rsid w:val="002452DA"/>
    <w:rsid w:val="00245F7B"/>
    <w:rsid w:val="002463FE"/>
    <w:rsid w:val="00246405"/>
    <w:rsid w:val="00246C69"/>
    <w:rsid w:val="002470C9"/>
    <w:rsid w:val="0024769A"/>
    <w:rsid w:val="00247B94"/>
    <w:rsid w:val="00247BA7"/>
    <w:rsid w:val="00247E66"/>
    <w:rsid w:val="002501AE"/>
    <w:rsid w:val="00250C31"/>
    <w:rsid w:val="00251ADD"/>
    <w:rsid w:val="00252C27"/>
    <w:rsid w:val="00253CAF"/>
    <w:rsid w:val="0025417F"/>
    <w:rsid w:val="00254F82"/>
    <w:rsid w:val="00255B1C"/>
    <w:rsid w:val="00256D84"/>
    <w:rsid w:val="00257020"/>
    <w:rsid w:val="0025709C"/>
    <w:rsid w:val="0025715D"/>
    <w:rsid w:val="00257590"/>
    <w:rsid w:val="00260ED7"/>
    <w:rsid w:val="00260F72"/>
    <w:rsid w:val="00261293"/>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207D"/>
    <w:rsid w:val="00274868"/>
    <w:rsid w:val="00274955"/>
    <w:rsid w:val="002750F0"/>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3217"/>
    <w:rsid w:val="00294D41"/>
    <w:rsid w:val="00295294"/>
    <w:rsid w:val="002955E9"/>
    <w:rsid w:val="002958CA"/>
    <w:rsid w:val="00295BE8"/>
    <w:rsid w:val="002A303A"/>
    <w:rsid w:val="002A4350"/>
    <w:rsid w:val="002A5B65"/>
    <w:rsid w:val="002A5D1D"/>
    <w:rsid w:val="002A5D28"/>
    <w:rsid w:val="002A6918"/>
    <w:rsid w:val="002A6A2E"/>
    <w:rsid w:val="002A722F"/>
    <w:rsid w:val="002A758F"/>
    <w:rsid w:val="002B01A6"/>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4910"/>
    <w:rsid w:val="002E4CAD"/>
    <w:rsid w:val="002E5481"/>
    <w:rsid w:val="002E61DF"/>
    <w:rsid w:val="002E73D3"/>
    <w:rsid w:val="002E73D7"/>
    <w:rsid w:val="002E7930"/>
    <w:rsid w:val="002F00B6"/>
    <w:rsid w:val="002F045D"/>
    <w:rsid w:val="002F0774"/>
    <w:rsid w:val="002F1237"/>
    <w:rsid w:val="002F1B14"/>
    <w:rsid w:val="002F2843"/>
    <w:rsid w:val="002F46E7"/>
    <w:rsid w:val="002F4D99"/>
    <w:rsid w:val="002F51CA"/>
    <w:rsid w:val="002F5903"/>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12B7"/>
    <w:rsid w:val="003C13B0"/>
    <w:rsid w:val="003C2E5D"/>
    <w:rsid w:val="003C397F"/>
    <w:rsid w:val="003C3A57"/>
    <w:rsid w:val="003C4A8F"/>
    <w:rsid w:val="003C4AC1"/>
    <w:rsid w:val="003C5168"/>
    <w:rsid w:val="003C5357"/>
    <w:rsid w:val="003C5CC1"/>
    <w:rsid w:val="003C5CD8"/>
    <w:rsid w:val="003C61B3"/>
    <w:rsid w:val="003C751F"/>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4203"/>
    <w:rsid w:val="00414AA1"/>
    <w:rsid w:val="00414B21"/>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B5C"/>
    <w:rsid w:val="00462790"/>
    <w:rsid w:val="004633AD"/>
    <w:rsid w:val="004636B7"/>
    <w:rsid w:val="00464D79"/>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63E"/>
    <w:rsid w:val="004F7B85"/>
    <w:rsid w:val="005008FD"/>
    <w:rsid w:val="00502B7B"/>
    <w:rsid w:val="00503516"/>
    <w:rsid w:val="005060ED"/>
    <w:rsid w:val="00507D91"/>
    <w:rsid w:val="00510A17"/>
    <w:rsid w:val="00510A63"/>
    <w:rsid w:val="00512BF3"/>
    <w:rsid w:val="00512E4E"/>
    <w:rsid w:val="00514482"/>
    <w:rsid w:val="005149D5"/>
    <w:rsid w:val="00515B87"/>
    <w:rsid w:val="005163A9"/>
    <w:rsid w:val="00516510"/>
    <w:rsid w:val="0051720D"/>
    <w:rsid w:val="0051771D"/>
    <w:rsid w:val="00517A55"/>
    <w:rsid w:val="005206E5"/>
    <w:rsid w:val="005214FC"/>
    <w:rsid w:val="0052309E"/>
    <w:rsid w:val="00524477"/>
    <w:rsid w:val="00524C4E"/>
    <w:rsid w:val="00524D5F"/>
    <w:rsid w:val="00524E37"/>
    <w:rsid w:val="0052551B"/>
    <w:rsid w:val="00527D5B"/>
    <w:rsid w:val="00530656"/>
    <w:rsid w:val="005324DE"/>
    <w:rsid w:val="00532B3E"/>
    <w:rsid w:val="00533648"/>
    <w:rsid w:val="005339C0"/>
    <w:rsid w:val="005355B5"/>
    <w:rsid w:val="005360E4"/>
    <w:rsid w:val="0053774A"/>
    <w:rsid w:val="005400F6"/>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1880"/>
    <w:rsid w:val="00571F43"/>
    <w:rsid w:val="00572CBE"/>
    <w:rsid w:val="0057544E"/>
    <w:rsid w:val="00575677"/>
    <w:rsid w:val="0057688F"/>
    <w:rsid w:val="00580AE1"/>
    <w:rsid w:val="00580E4A"/>
    <w:rsid w:val="005811B9"/>
    <w:rsid w:val="0058128D"/>
    <w:rsid w:val="005818DB"/>
    <w:rsid w:val="00581A9E"/>
    <w:rsid w:val="00581F6E"/>
    <w:rsid w:val="005836F2"/>
    <w:rsid w:val="00583AD4"/>
    <w:rsid w:val="00583D5A"/>
    <w:rsid w:val="00583E1F"/>
    <w:rsid w:val="00584AA6"/>
    <w:rsid w:val="00584DDE"/>
    <w:rsid w:val="0058617E"/>
    <w:rsid w:val="00586EFC"/>
    <w:rsid w:val="00587ECA"/>
    <w:rsid w:val="00587FC2"/>
    <w:rsid w:val="00590B40"/>
    <w:rsid w:val="00591201"/>
    <w:rsid w:val="00594F5A"/>
    <w:rsid w:val="005955E1"/>
    <w:rsid w:val="005959CE"/>
    <w:rsid w:val="0059633F"/>
    <w:rsid w:val="005974A8"/>
    <w:rsid w:val="005A2478"/>
    <w:rsid w:val="005A296E"/>
    <w:rsid w:val="005A34D8"/>
    <w:rsid w:val="005A3887"/>
    <w:rsid w:val="005A45B8"/>
    <w:rsid w:val="005A5289"/>
    <w:rsid w:val="005A57E0"/>
    <w:rsid w:val="005B0ECB"/>
    <w:rsid w:val="005B119D"/>
    <w:rsid w:val="005B13D0"/>
    <w:rsid w:val="005B2BBF"/>
    <w:rsid w:val="005B3855"/>
    <w:rsid w:val="005B4A2F"/>
    <w:rsid w:val="005B6FB6"/>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D0"/>
    <w:rsid w:val="0061474F"/>
    <w:rsid w:val="006152EE"/>
    <w:rsid w:val="00615DC8"/>
    <w:rsid w:val="00616466"/>
    <w:rsid w:val="00617350"/>
    <w:rsid w:val="00617586"/>
    <w:rsid w:val="006175CD"/>
    <w:rsid w:val="00620097"/>
    <w:rsid w:val="00620E61"/>
    <w:rsid w:val="00620EFD"/>
    <w:rsid w:val="006213F7"/>
    <w:rsid w:val="00621A94"/>
    <w:rsid w:val="00621B17"/>
    <w:rsid w:val="00622FAD"/>
    <w:rsid w:val="006240D8"/>
    <w:rsid w:val="0062425E"/>
    <w:rsid w:val="0062517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6021"/>
    <w:rsid w:val="00646780"/>
    <w:rsid w:val="00646FAD"/>
    <w:rsid w:val="00647304"/>
    <w:rsid w:val="006529A4"/>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6307"/>
    <w:rsid w:val="00686D19"/>
    <w:rsid w:val="00686F84"/>
    <w:rsid w:val="00686F99"/>
    <w:rsid w:val="00687061"/>
    <w:rsid w:val="00687E20"/>
    <w:rsid w:val="00690548"/>
    <w:rsid w:val="0069081C"/>
    <w:rsid w:val="00690FE3"/>
    <w:rsid w:val="00691E2D"/>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FE6"/>
    <w:rsid w:val="006E6FE1"/>
    <w:rsid w:val="006E70E8"/>
    <w:rsid w:val="006E79A7"/>
    <w:rsid w:val="006F05EF"/>
    <w:rsid w:val="006F121C"/>
    <w:rsid w:val="006F12D1"/>
    <w:rsid w:val="006F1807"/>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B46"/>
    <w:rsid w:val="00767A6C"/>
    <w:rsid w:val="0077074B"/>
    <w:rsid w:val="007711B5"/>
    <w:rsid w:val="007714F4"/>
    <w:rsid w:val="00772063"/>
    <w:rsid w:val="007727D6"/>
    <w:rsid w:val="007737C0"/>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DF1"/>
    <w:rsid w:val="007D4410"/>
    <w:rsid w:val="007D4428"/>
    <w:rsid w:val="007D4448"/>
    <w:rsid w:val="007D4689"/>
    <w:rsid w:val="007D53D6"/>
    <w:rsid w:val="007D5F28"/>
    <w:rsid w:val="007D7650"/>
    <w:rsid w:val="007D7CB8"/>
    <w:rsid w:val="007E05E7"/>
    <w:rsid w:val="007E09D6"/>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7FE"/>
    <w:rsid w:val="00821F2F"/>
    <w:rsid w:val="00821F56"/>
    <w:rsid w:val="00822051"/>
    <w:rsid w:val="0082321F"/>
    <w:rsid w:val="00823286"/>
    <w:rsid w:val="0082353F"/>
    <w:rsid w:val="008240E0"/>
    <w:rsid w:val="0082413E"/>
    <w:rsid w:val="00824384"/>
    <w:rsid w:val="008246E3"/>
    <w:rsid w:val="0082471C"/>
    <w:rsid w:val="0082527D"/>
    <w:rsid w:val="00825B14"/>
    <w:rsid w:val="00825E54"/>
    <w:rsid w:val="00830472"/>
    <w:rsid w:val="00830A48"/>
    <w:rsid w:val="00830E45"/>
    <w:rsid w:val="0083114F"/>
    <w:rsid w:val="008324D7"/>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178D"/>
    <w:rsid w:val="00852141"/>
    <w:rsid w:val="0085246E"/>
    <w:rsid w:val="00852A13"/>
    <w:rsid w:val="00852B80"/>
    <w:rsid w:val="00852FED"/>
    <w:rsid w:val="00853C94"/>
    <w:rsid w:val="0085516D"/>
    <w:rsid w:val="00857F35"/>
    <w:rsid w:val="00861AF4"/>
    <w:rsid w:val="00862AB3"/>
    <w:rsid w:val="0086321E"/>
    <w:rsid w:val="00863F8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53DE"/>
    <w:rsid w:val="008954A6"/>
    <w:rsid w:val="00896579"/>
    <w:rsid w:val="008966D5"/>
    <w:rsid w:val="00897A5D"/>
    <w:rsid w:val="00897E47"/>
    <w:rsid w:val="008A4E19"/>
    <w:rsid w:val="008A5324"/>
    <w:rsid w:val="008A550C"/>
    <w:rsid w:val="008A55B6"/>
    <w:rsid w:val="008A5755"/>
    <w:rsid w:val="008A66BF"/>
    <w:rsid w:val="008A6792"/>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4B40"/>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7516"/>
    <w:rsid w:val="00A577A5"/>
    <w:rsid w:val="00A57896"/>
    <w:rsid w:val="00A61543"/>
    <w:rsid w:val="00A6171E"/>
    <w:rsid w:val="00A630B0"/>
    <w:rsid w:val="00A63843"/>
    <w:rsid w:val="00A6537A"/>
    <w:rsid w:val="00A6629F"/>
    <w:rsid w:val="00A6737B"/>
    <w:rsid w:val="00A700DF"/>
    <w:rsid w:val="00A70AB9"/>
    <w:rsid w:val="00A70B98"/>
    <w:rsid w:val="00A71204"/>
    <w:rsid w:val="00A728C1"/>
    <w:rsid w:val="00A72E0C"/>
    <w:rsid w:val="00A731CA"/>
    <w:rsid w:val="00A732E0"/>
    <w:rsid w:val="00A74642"/>
    <w:rsid w:val="00A7483B"/>
    <w:rsid w:val="00A74D00"/>
    <w:rsid w:val="00A7573C"/>
    <w:rsid w:val="00A75811"/>
    <w:rsid w:val="00A76608"/>
    <w:rsid w:val="00A76A9E"/>
    <w:rsid w:val="00A77781"/>
    <w:rsid w:val="00A82765"/>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2A7"/>
    <w:rsid w:val="00AA2EE3"/>
    <w:rsid w:val="00AA3786"/>
    <w:rsid w:val="00AA3939"/>
    <w:rsid w:val="00AA4B48"/>
    <w:rsid w:val="00AA597D"/>
    <w:rsid w:val="00AA5D5F"/>
    <w:rsid w:val="00AA6068"/>
    <w:rsid w:val="00AA60AE"/>
    <w:rsid w:val="00AB06AE"/>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917"/>
    <w:rsid w:val="00AD6E3F"/>
    <w:rsid w:val="00AD768A"/>
    <w:rsid w:val="00AE0205"/>
    <w:rsid w:val="00AE0D06"/>
    <w:rsid w:val="00AE0EDE"/>
    <w:rsid w:val="00AE12F7"/>
    <w:rsid w:val="00AE1687"/>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386D"/>
    <w:rsid w:val="00B5410E"/>
    <w:rsid w:val="00B54426"/>
    <w:rsid w:val="00B54939"/>
    <w:rsid w:val="00B54C20"/>
    <w:rsid w:val="00B54C4E"/>
    <w:rsid w:val="00B56D13"/>
    <w:rsid w:val="00B57499"/>
    <w:rsid w:val="00B60B6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D04"/>
    <w:rsid w:val="00C72907"/>
    <w:rsid w:val="00C72A5B"/>
    <w:rsid w:val="00C7300C"/>
    <w:rsid w:val="00C74C54"/>
    <w:rsid w:val="00C74E31"/>
    <w:rsid w:val="00C76A5D"/>
    <w:rsid w:val="00C771E2"/>
    <w:rsid w:val="00C771FC"/>
    <w:rsid w:val="00C77571"/>
    <w:rsid w:val="00C779DD"/>
    <w:rsid w:val="00C811D1"/>
    <w:rsid w:val="00C8211D"/>
    <w:rsid w:val="00C82820"/>
    <w:rsid w:val="00C8381B"/>
    <w:rsid w:val="00C83B82"/>
    <w:rsid w:val="00C84332"/>
    <w:rsid w:val="00C85294"/>
    <w:rsid w:val="00C86CB4"/>
    <w:rsid w:val="00C8783F"/>
    <w:rsid w:val="00C87978"/>
    <w:rsid w:val="00C9090E"/>
    <w:rsid w:val="00C90BCF"/>
    <w:rsid w:val="00C923ED"/>
    <w:rsid w:val="00C92743"/>
    <w:rsid w:val="00C931D5"/>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76C3"/>
    <w:rsid w:val="00CA7C06"/>
    <w:rsid w:val="00CB1AF1"/>
    <w:rsid w:val="00CB1B4B"/>
    <w:rsid w:val="00CB22C3"/>
    <w:rsid w:val="00CB28E5"/>
    <w:rsid w:val="00CB2C04"/>
    <w:rsid w:val="00CB37AE"/>
    <w:rsid w:val="00CB3F6E"/>
    <w:rsid w:val="00CB5FFE"/>
    <w:rsid w:val="00CB6B46"/>
    <w:rsid w:val="00CB7A1A"/>
    <w:rsid w:val="00CB7EE0"/>
    <w:rsid w:val="00CC0835"/>
    <w:rsid w:val="00CC196F"/>
    <w:rsid w:val="00CC27D9"/>
    <w:rsid w:val="00CC2B9F"/>
    <w:rsid w:val="00CC2EA4"/>
    <w:rsid w:val="00CC3D5D"/>
    <w:rsid w:val="00CC5D33"/>
    <w:rsid w:val="00CC7886"/>
    <w:rsid w:val="00CC7D01"/>
    <w:rsid w:val="00CD0FF2"/>
    <w:rsid w:val="00CD2087"/>
    <w:rsid w:val="00CD250A"/>
    <w:rsid w:val="00CD2D99"/>
    <w:rsid w:val="00CD3951"/>
    <w:rsid w:val="00CD58C2"/>
    <w:rsid w:val="00CD6556"/>
    <w:rsid w:val="00CD70CF"/>
    <w:rsid w:val="00CD738E"/>
    <w:rsid w:val="00CE2131"/>
    <w:rsid w:val="00CE29CF"/>
    <w:rsid w:val="00CE308C"/>
    <w:rsid w:val="00CE5180"/>
    <w:rsid w:val="00CE5645"/>
    <w:rsid w:val="00CE5AFA"/>
    <w:rsid w:val="00CE602D"/>
    <w:rsid w:val="00CE64B2"/>
    <w:rsid w:val="00CE70CD"/>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6D"/>
    <w:rsid w:val="00DE5836"/>
    <w:rsid w:val="00DE6629"/>
    <w:rsid w:val="00DE664F"/>
    <w:rsid w:val="00DE6CFC"/>
    <w:rsid w:val="00DE6E8F"/>
    <w:rsid w:val="00DE6F28"/>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1E4"/>
    <w:rsid w:val="00E81F78"/>
    <w:rsid w:val="00E821F5"/>
    <w:rsid w:val="00E831CC"/>
    <w:rsid w:val="00E841C5"/>
    <w:rsid w:val="00E84AC0"/>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414F"/>
    <w:rsid w:val="00EA618B"/>
    <w:rsid w:val="00EA7134"/>
    <w:rsid w:val="00EA7774"/>
    <w:rsid w:val="00EB016D"/>
    <w:rsid w:val="00EB09A7"/>
    <w:rsid w:val="00EB0AB8"/>
    <w:rsid w:val="00EB150F"/>
    <w:rsid w:val="00EB153F"/>
    <w:rsid w:val="00EB1551"/>
    <w:rsid w:val="00EB3704"/>
    <w:rsid w:val="00EB43BC"/>
    <w:rsid w:val="00EB66DD"/>
    <w:rsid w:val="00EB6D46"/>
    <w:rsid w:val="00EB7110"/>
    <w:rsid w:val="00EB7126"/>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F20"/>
    <w:rsid w:val="00F979D8"/>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2787"/>
    <w:rsid w:val="00FE32D0"/>
    <w:rsid w:val="00FE3B7D"/>
    <w:rsid w:val="00FE4FFC"/>
    <w:rsid w:val="00FE51BC"/>
    <w:rsid w:val="00FE59E9"/>
    <w:rsid w:val="00FE6143"/>
    <w:rsid w:val="00FF02B2"/>
    <w:rsid w:val="00FF20B8"/>
    <w:rsid w:val="00FF2732"/>
    <w:rsid w:val="00FF309F"/>
    <w:rsid w:val="00FF3456"/>
    <w:rsid w:val="00FF3D89"/>
    <w:rsid w:val="00FF41EE"/>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8673"/>
    <o:shapelayout v:ext="edit">
      <o:idmap v:ext="edit" data="1"/>
    </o:shapelayout>
  </w:shapeDefaults>
  <w:decimalSymbol w:val=","/>
  <w:listSeparator w:val=";"/>
  <w14:docId w14:val="7F1948FC"/>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qFormat="1"/>
    <w:lsdException w:name="Plain Text" w:uiPriority="99"/>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barometro-empresaria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feda.es" TargetMode="External"/><Relationship Id="rId4" Type="http://schemas.openxmlformats.org/officeDocument/2006/relationships/settings" Target="settings.xml"/><Relationship Id="rId9" Type="http://schemas.openxmlformats.org/officeDocument/2006/relationships/hyperlink" Target="https://www.feda.es/docs/barometro-empresarial-feda-2020-2021.pdf"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0A9740-91ED-4FBD-B973-48D2A78E3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1789</Words>
  <Characters>9343</Characters>
  <Application>Microsoft Office Word</Application>
  <DocSecurity>0</DocSecurity>
  <Lines>77</Lines>
  <Paragraphs>22</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11110</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creativo</cp:lastModifiedBy>
  <cp:revision>4</cp:revision>
  <cp:lastPrinted>2021-03-16T11:17:00Z</cp:lastPrinted>
  <dcterms:created xsi:type="dcterms:W3CDTF">2021-03-24T17:25:00Z</dcterms:created>
  <dcterms:modified xsi:type="dcterms:W3CDTF">2021-03-25T06:40:00Z</dcterms:modified>
</cp:coreProperties>
</file>