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0AA" w:rsidRDefault="00D914F3" w:rsidP="006426A1">
      <w:pPr>
        <w:tabs>
          <w:tab w:val="left" w:pos="2055"/>
          <w:tab w:val="left" w:pos="3180"/>
          <w:tab w:val="left" w:pos="3255"/>
        </w:tabs>
        <w:jc w:val="right"/>
        <w:rPr>
          <w:rFonts w:ascii="Tahoma" w:hAnsi="Tahoma" w:cs="Tahoma"/>
          <w:bCs/>
          <w:szCs w:val="24"/>
        </w:rPr>
      </w:pPr>
      <w:r>
        <w:rPr>
          <w:noProof/>
        </w:rPr>
        <w:drawing>
          <wp:anchor distT="0" distB="0" distL="114300" distR="114300" simplePos="0" relativeHeight="251659264" behindDoc="1" locked="0" layoutInCell="1" allowOverlap="1" wp14:anchorId="44937FEB" wp14:editId="699F3C00">
            <wp:simplePos x="0" y="0"/>
            <wp:positionH relativeFrom="margin">
              <wp:align>left</wp:align>
            </wp:positionH>
            <wp:positionV relativeFrom="paragraph">
              <wp:posOffset>59055</wp:posOffset>
            </wp:positionV>
            <wp:extent cx="1343025" cy="424180"/>
            <wp:effectExtent l="0" t="0" r="9525" b="0"/>
            <wp:wrapTight wrapText="bothSides">
              <wp:wrapPolygon edited="0">
                <wp:start x="0" y="0"/>
                <wp:lineTo x="0" y="20371"/>
                <wp:lineTo x="21447" y="20371"/>
                <wp:lineTo x="21447" y="0"/>
                <wp:lineTo x="0" y="0"/>
              </wp:wrapPolygon>
            </wp:wrapTight>
            <wp:docPr id="21" name="Imagen 21" descr="C:\Users\evillanueva\Desktop\LOGOS VECTORIZADOS\049 Camara de Albacete - CMYK-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villanueva\Desktop\LOGOS VECTORIZADOS\049 Camara de Albacete - CMYK-30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3025" cy="4241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51771D" w:rsidRDefault="0051771D" w:rsidP="004E77ED">
      <w:pPr>
        <w:jc w:val="right"/>
        <w:rPr>
          <w:rFonts w:ascii="Tahoma" w:hAnsi="Tahoma" w:cs="Tahoma"/>
          <w:color w:val="000000"/>
          <w:sz w:val="22"/>
          <w:szCs w:val="22"/>
          <w:lang w:eastAsia="es-ES_tradnl"/>
        </w:rPr>
      </w:pPr>
    </w:p>
    <w:p w:rsidR="004E77ED" w:rsidRDefault="004938E6" w:rsidP="004A6D0B">
      <w:pPr>
        <w:jc w:val="right"/>
        <w:rPr>
          <w:rFonts w:ascii="Tahoma" w:hAnsi="Tahoma" w:cs="Tahoma"/>
          <w:color w:val="000000"/>
          <w:sz w:val="22"/>
          <w:szCs w:val="22"/>
          <w:lang w:eastAsia="es-ES_tradnl"/>
        </w:rPr>
      </w:pPr>
      <w:r w:rsidRPr="007C532B">
        <w:rPr>
          <w:rFonts w:ascii="Tahoma" w:hAnsi="Tahoma" w:cs="Tahoma"/>
          <w:color w:val="000000"/>
          <w:sz w:val="22"/>
          <w:szCs w:val="22"/>
          <w:lang w:eastAsia="es-ES_tradnl"/>
        </w:rPr>
        <w:t xml:space="preserve">Albacete, </w:t>
      </w:r>
      <w:r w:rsidR="0051771D">
        <w:rPr>
          <w:rFonts w:ascii="Tahoma" w:hAnsi="Tahoma" w:cs="Tahoma"/>
          <w:color w:val="000000"/>
          <w:sz w:val="22"/>
          <w:szCs w:val="22"/>
          <w:lang w:eastAsia="es-ES_tradnl"/>
        </w:rPr>
        <w:t>2</w:t>
      </w:r>
      <w:r w:rsidR="004A6D0B">
        <w:rPr>
          <w:rFonts w:ascii="Tahoma" w:hAnsi="Tahoma" w:cs="Tahoma"/>
          <w:color w:val="000000"/>
          <w:sz w:val="22"/>
          <w:szCs w:val="22"/>
          <w:lang w:eastAsia="es-ES_tradnl"/>
        </w:rPr>
        <w:t>5</w:t>
      </w:r>
      <w:r w:rsidR="00C27D91" w:rsidRPr="007C532B">
        <w:rPr>
          <w:rFonts w:ascii="Tahoma" w:hAnsi="Tahoma" w:cs="Tahoma"/>
          <w:color w:val="000000"/>
          <w:sz w:val="22"/>
          <w:szCs w:val="22"/>
          <w:lang w:eastAsia="es-ES_tradnl"/>
        </w:rPr>
        <w:t xml:space="preserve"> de marzo</w:t>
      </w:r>
      <w:r w:rsidR="004E77ED" w:rsidRPr="007C532B">
        <w:rPr>
          <w:rFonts w:ascii="Tahoma" w:hAnsi="Tahoma" w:cs="Tahoma"/>
          <w:color w:val="000000"/>
          <w:sz w:val="22"/>
          <w:szCs w:val="22"/>
          <w:lang w:eastAsia="es-ES_tradnl"/>
        </w:rPr>
        <w:t xml:space="preserve"> </w:t>
      </w:r>
      <w:r w:rsidR="00B21AC9" w:rsidRPr="007C532B">
        <w:rPr>
          <w:rFonts w:ascii="Tahoma" w:hAnsi="Tahoma" w:cs="Tahoma"/>
          <w:color w:val="000000"/>
          <w:sz w:val="22"/>
          <w:szCs w:val="22"/>
          <w:lang w:eastAsia="es-ES_tradnl"/>
        </w:rPr>
        <w:t xml:space="preserve">de </w:t>
      </w:r>
      <w:r w:rsidR="004E77ED" w:rsidRPr="007C532B">
        <w:rPr>
          <w:rFonts w:ascii="Tahoma" w:hAnsi="Tahoma" w:cs="Tahoma"/>
          <w:color w:val="000000"/>
          <w:sz w:val="22"/>
          <w:szCs w:val="22"/>
          <w:lang w:eastAsia="es-ES_tradnl"/>
        </w:rPr>
        <w:t>2021</w:t>
      </w:r>
    </w:p>
    <w:p w:rsidR="00684C6F" w:rsidRDefault="00684C6F" w:rsidP="004A6D0B">
      <w:pPr>
        <w:jc w:val="right"/>
        <w:rPr>
          <w:rFonts w:ascii="Tahoma" w:hAnsi="Tahoma" w:cs="Tahoma"/>
          <w:color w:val="000000"/>
          <w:sz w:val="22"/>
          <w:szCs w:val="22"/>
          <w:lang w:eastAsia="es-ES_tradnl"/>
        </w:rPr>
      </w:pPr>
      <w:bookmarkStart w:id="0" w:name="_GoBack"/>
      <w:bookmarkEnd w:id="0"/>
    </w:p>
    <w:p w:rsidR="00684C6F" w:rsidRDefault="00684C6F" w:rsidP="004A6D0B">
      <w:pPr>
        <w:ind w:left="-426" w:right="-284"/>
        <w:jc w:val="center"/>
        <w:rPr>
          <w:rFonts w:ascii="Tahoma" w:hAnsi="Tahoma" w:cs="Tahoma"/>
          <w:b/>
          <w:color w:val="000000"/>
          <w:sz w:val="32"/>
          <w:szCs w:val="32"/>
          <w:lang w:eastAsia="es-ES_tradnl"/>
        </w:rPr>
      </w:pPr>
    </w:p>
    <w:p w:rsidR="004A6D0B" w:rsidRDefault="004A6D0B" w:rsidP="004A6D0B">
      <w:pPr>
        <w:ind w:left="-426" w:right="-284"/>
        <w:jc w:val="center"/>
        <w:rPr>
          <w:rFonts w:ascii="Tahoma" w:hAnsi="Tahoma" w:cs="Tahoma"/>
          <w:b/>
          <w:color w:val="000000"/>
          <w:sz w:val="32"/>
          <w:szCs w:val="32"/>
          <w:lang w:eastAsia="es-ES_tradnl"/>
        </w:rPr>
      </w:pPr>
      <w:r w:rsidRPr="004A6D0B">
        <w:rPr>
          <w:rFonts w:ascii="Tahoma" w:hAnsi="Tahoma" w:cs="Tahoma"/>
          <w:b/>
          <w:color w:val="000000"/>
          <w:sz w:val="32"/>
          <w:szCs w:val="32"/>
          <w:lang w:eastAsia="es-ES_tradnl"/>
        </w:rPr>
        <w:t xml:space="preserve">FEDA y Cámara de Comercio de Albacete afianzan </w:t>
      </w:r>
      <w:r>
        <w:rPr>
          <w:rFonts w:ascii="Tahoma" w:hAnsi="Tahoma" w:cs="Tahoma"/>
          <w:b/>
          <w:color w:val="000000"/>
          <w:sz w:val="32"/>
          <w:szCs w:val="32"/>
          <w:lang w:eastAsia="es-ES_tradnl"/>
        </w:rPr>
        <w:t xml:space="preserve">su </w:t>
      </w:r>
      <w:r w:rsidRPr="004A6D0B">
        <w:rPr>
          <w:rFonts w:ascii="Tahoma" w:hAnsi="Tahoma" w:cs="Tahoma"/>
          <w:b/>
          <w:color w:val="000000"/>
          <w:sz w:val="32"/>
          <w:szCs w:val="32"/>
          <w:lang w:eastAsia="es-ES_tradnl"/>
        </w:rPr>
        <w:t>colaboración para el desarrollo empresarial de la provincia</w:t>
      </w:r>
    </w:p>
    <w:p w:rsidR="004A6D0B" w:rsidRDefault="004A6D0B" w:rsidP="004A6D0B">
      <w:pPr>
        <w:ind w:left="-426" w:right="-284"/>
        <w:jc w:val="center"/>
        <w:rPr>
          <w:rFonts w:ascii="Tahoma" w:hAnsi="Tahoma" w:cs="Tahoma"/>
          <w:b/>
          <w:color w:val="000000"/>
          <w:sz w:val="32"/>
          <w:szCs w:val="32"/>
          <w:lang w:eastAsia="es-ES_tradnl"/>
        </w:rPr>
      </w:pPr>
    </w:p>
    <w:p w:rsidR="004A6D0B" w:rsidRPr="00684C6F" w:rsidRDefault="004A6D0B" w:rsidP="0058286B">
      <w:pPr>
        <w:pStyle w:val="Prrafodelista"/>
        <w:numPr>
          <w:ilvl w:val="0"/>
          <w:numId w:val="21"/>
        </w:numPr>
        <w:spacing w:after="160" w:line="256" w:lineRule="auto"/>
        <w:ind w:right="-284"/>
        <w:contextualSpacing/>
        <w:jc w:val="center"/>
        <w:rPr>
          <w:rFonts w:ascii="Tahoma" w:hAnsi="Tahoma" w:cs="Tahoma"/>
          <w:b/>
          <w:color w:val="000000"/>
          <w:szCs w:val="24"/>
          <w:lang w:eastAsia="es-ES_tradnl"/>
        </w:rPr>
      </w:pPr>
      <w:r w:rsidRPr="004A6D0B">
        <w:rPr>
          <w:rFonts w:ascii="Tahoma" w:hAnsi="Tahoma" w:cs="Tahoma"/>
          <w:b/>
        </w:rPr>
        <w:t xml:space="preserve">Complementar y coordinar sus respectivos planes de actuación a fin de optimizar la utilización de sus respectivos recursos en beneficio de las pymes, autónomos autónomas </w:t>
      </w:r>
    </w:p>
    <w:p w:rsidR="00684C6F" w:rsidRPr="004A6D0B" w:rsidRDefault="00684C6F" w:rsidP="0058286B">
      <w:pPr>
        <w:pStyle w:val="Prrafodelista"/>
        <w:numPr>
          <w:ilvl w:val="0"/>
          <w:numId w:val="21"/>
        </w:numPr>
        <w:spacing w:after="160" w:line="256" w:lineRule="auto"/>
        <w:ind w:right="-284"/>
        <w:contextualSpacing/>
        <w:jc w:val="center"/>
        <w:rPr>
          <w:rFonts w:ascii="Tahoma" w:hAnsi="Tahoma" w:cs="Tahoma"/>
          <w:b/>
          <w:color w:val="000000"/>
          <w:szCs w:val="24"/>
          <w:lang w:eastAsia="es-ES_tradnl"/>
        </w:rPr>
      </w:pPr>
      <w:r>
        <w:rPr>
          <w:rFonts w:ascii="Tahoma" w:hAnsi="Tahoma" w:cs="Tahoma"/>
          <w:b/>
        </w:rPr>
        <w:t>Se reconoce a ADIEX y a FECOM como interlocutores en la provincia de las empresas exportadoras e importadoras y del pequeño comercio</w:t>
      </w:r>
    </w:p>
    <w:p w:rsidR="004A6D0B" w:rsidRDefault="004A6D0B" w:rsidP="004A6D0B">
      <w:pPr>
        <w:spacing w:after="160" w:line="256" w:lineRule="auto"/>
        <w:ind w:right="-284"/>
        <w:contextualSpacing/>
        <w:jc w:val="center"/>
        <w:rPr>
          <w:rFonts w:ascii="Tahoma" w:hAnsi="Tahoma" w:cs="Tahoma"/>
          <w:b/>
          <w:color w:val="000000"/>
          <w:szCs w:val="24"/>
          <w:lang w:eastAsia="es-ES_tradnl"/>
        </w:rPr>
      </w:pPr>
    </w:p>
    <w:p w:rsidR="00684C6F" w:rsidRDefault="00684C6F" w:rsidP="004A6D0B">
      <w:pPr>
        <w:spacing w:after="160"/>
        <w:ind w:right="-284"/>
        <w:contextualSpacing/>
        <w:rPr>
          <w:rFonts w:ascii="Tahoma" w:hAnsi="Tahoma" w:cs="Tahoma"/>
          <w:color w:val="000000"/>
          <w:sz w:val="22"/>
          <w:szCs w:val="22"/>
          <w:lang w:eastAsia="es-ES_tradnl"/>
        </w:rPr>
      </w:pPr>
    </w:p>
    <w:p w:rsidR="00684C6F" w:rsidRDefault="00684C6F" w:rsidP="004A6D0B">
      <w:pPr>
        <w:spacing w:after="160"/>
        <w:ind w:right="-284"/>
        <w:contextualSpacing/>
        <w:rPr>
          <w:rFonts w:ascii="Tahoma" w:hAnsi="Tahoma" w:cs="Tahoma"/>
          <w:color w:val="000000"/>
          <w:sz w:val="22"/>
          <w:szCs w:val="22"/>
          <w:lang w:eastAsia="es-ES_tradnl"/>
        </w:rPr>
      </w:pPr>
    </w:p>
    <w:p w:rsidR="004A6D0B" w:rsidRPr="00684C6F" w:rsidRDefault="004A6D0B" w:rsidP="004A6D0B">
      <w:pPr>
        <w:spacing w:after="160"/>
        <w:ind w:right="-284"/>
        <w:contextualSpacing/>
        <w:rPr>
          <w:rFonts w:ascii="Tahoma" w:hAnsi="Tahoma" w:cs="Tahoma"/>
          <w:color w:val="000000"/>
          <w:szCs w:val="24"/>
          <w:lang w:eastAsia="es-ES_tradnl"/>
        </w:rPr>
      </w:pPr>
      <w:r w:rsidRPr="00684C6F">
        <w:rPr>
          <w:rFonts w:ascii="Tahoma" w:hAnsi="Tahoma" w:cs="Tahoma"/>
          <w:color w:val="000000"/>
          <w:szCs w:val="24"/>
          <w:lang w:eastAsia="es-ES_tradnl"/>
        </w:rPr>
        <w:t xml:space="preserve">El presidente de </w:t>
      </w:r>
      <w:hyperlink r:id="rId9" w:history="1">
        <w:r w:rsidRPr="00684C6F">
          <w:rPr>
            <w:rStyle w:val="Hipervnculo"/>
            <w:rFonts w:ascii="Tahoma" w:hAnsi="Tahoma" w:cs="Tahoma"/>
            <w:szCs w:val="24"/>
            <w:lang w:eastAsia="es-ES_tradnl"/>
          </w:rPr>
          <w:t>FEDA</w:t>
        </w:r>
      </w:hyperlink>
      <w:r w:rsidRPr="00684C6F">
        <w:rPr>
          <w:rFonts w:ascii="Tahoma" w:hAnsi="Tahoma" w:cs="Tahoma"/>
          <w:color w:val="000000"/>
          <w:szCs w:val="24"/>
          <w:lang w:eastAsia="es-ES_tradnl"/>
        </w:rPr>
        <w:t xml:space="preserve">, Artemio Pérez Alfaro, y el presidente de la </w:t>
      </w:r>
      <w:hyperlink r:id="rId10" w:history="1">
        <w:r w:rsidRPr="00684C6F">
          <w:rPr>
            <w:rStyle w:val="Hipervnculo"/>
            <w:rFonts w:ascii="Tahoma" w:hAnsi="Tahoma" w:cs="Tahoma"/>
            <w:szCs w:val="24"/>
            <w:lang w:eastAsia="es-ES_tradnl"/>
          </w:rPr>
          <w:t>Cámara de Comercio de Albacete</w:t>
        </w:r>
      </w:hyperlink>
      <w:r w:rsidRPr="00684C6F">
        <w:rPr>
          <w:rFonts w:ascii="Tahoma" w:hAnsi="Tahoma" w:cs="Tahoma"/>
          <w:color w:val="000000"/>
          <w:szCs w:val="24"/>
          <w:lang w:eastAsia="es-ES_tradnl"/>
        </w:rPr>
        <w:t>, Juan Martínez Moraga, han materializado con la firma de un convenio las líneas de colaboración que existen entre ambas entidades que trabajan en Albacete y provincia en pro del desarrollo empresarial. Una colaboración que ya viene de lejos y que ha permitido en los últimos años una estrecha relación y representación entre la Confederación y la Cámara. Una muestra de este trabajando conjunto queda plasmado en el hecho de que Artemio Pérez ya fue presidente de la institución cameral y Juan Martínez es vicepresidente de FEDA. Y el Comité Ejecutivo de la organización empresarial constituye el Pleno de la Cámara.</w:t>
      </w:r>
    </w:p>
    <w:p w:rsidR="00822577" w:rsidRPr="00684C6F" w:rsidRDefault="00822577" w:rsidP="004A6D0B">
      <w:pPr>
        <w:spacing w:after="160"/>
        <w:ind w:right="-284"/>
        <w:contextualSpacing/>
        <w:rPr>
          <w:rFonts w:ascii="Tahoma" w:hAnsi="Tahoma" w:cs="Tahoma"/>
          <w:color w:val="000000"/>
          <w:szCs w:val="24"/>
          <w:lang w:eastAsia="es-ES_tradnl"/>
        </w:rPr>
      </w:pPr>
    </w:p>
    <w:p w:rsidR="00822577" w:rsidRPr="00684C6F" w:rsidRDefault="00822577" w:rsidP="004A6D0B">
      <w:pPr>
        <w:spacing w:after="160"/>
        <w:ind w:right="-284"/>
        <w:contextualSpacing/>
        <w:rPr>
          <w:rFonts w:ascii="Tahoma" w:hAnsi="Tahoma" w:cs="Tahoma"/>
          <w:color w:val="000000"/>
          <w:szCs w:val="24"/>
          <w:lang w:eastAsia="es-ES_tradnl"/>
        </w:rPr>
      </w:pPr>
      <w:r w:rsidRPr="00684C6F">
        <w:rPr>
          <w:rFonts w:ascii="Tahoma" w:hAnsi="Tahoma" w:cs="Tahoma"/>
          <w:color w:val="000000"/>
          <w:szCs w:val="24"/>
          <w:lang w:eastAsia="es-ES_tradnl"/>
        </w:rPr>
        <w:t>Además, cabe destacar que la sede de la Cámara de Comercio de Albacete se encuentra en la misma sede de FEDA en Albacete, en la calle de los Empresarios, 6, desde 2019.</w:t>
      </w:r>
    </w:p>
    <w:p w:rsidR="004A6D0B" w:rsidRPr="00684C6F" w:rsidRDefault="004A6D0B" w:rsidP="004A6D0B">
      <w:pPr>
        <w:spacing w:after="160"/>
        <w:ind w:right="-284"/>
        <w:contextualSpacing/>
        <w:rPr>
          <w:rFonts w:ascii="Tahoma" w:hAnsi="Tahoma" w:cs="Tahoma"/>
          <w:color w:val="000000"/>
          <w:szCs w:val="24"/>
          <w:lang w:eastAsia="es-ES_tradnl"/>
        </w:rPr>
      </w:pPr>
    </w:p>
    <w:p w:rsidR="004A6D0B" w:rsidRPr="00684C6F" w:rsidRDefault="004A6D0B" w:rsidP="00822577">
      <w:pPr>
        <w:spacing w:after="160" w:line="256" w:lineRule="auto"/>
        <w:contextualSpacing/>
        <w:rPr>
          <w:rFonts w:ascii="Tahoma" w:hAnsi="Tahoma" w:cs="Tahoma"/>
          <w:szCs w:val="24"/>
        </w:rPr>
      </w:pPr>
      <w:r w:rsidRPr="00684C6F">
        <w:rPr>
          <w:rFonts w:ascii="Tahoma" w:hAnsi="Tahoma" w:cs="Tahoma"/>
          <w:color w:val="000000"/>
          <w:szCs w:val="24"/>
          <w:lang w:eastAsia="es-ES_tradnl"/>
        </w:rPr>
        <w:t xml:space="preserve">En el acuerdo marco de colaboración firmado ahora los objetivos pasan por </w:t>
      </w:r>
      <w:r w:rsidR="00822577" w:rsidRPr="00684C6F">
        <w:rPr>
          <w:rFonts w:ascii="Tahoma" w:hAnsi="Tahoma" w:cs="Tahoma"/>
          <w:szCs w:val="24"/>
        </w:rPr>
        <w:t>objetivos c</w:t>
      </w:r>
      <w:r w:rsidRPr="00684C6F">
        <w:rPr>
          <w:rFonts w:ascii="Tahoma" w:hAnsi="Tahoma" w:cs="Tahoma"/>
          <w:szCs w:val="24"/>
        </w:rPr>
        <w:t xml:space="preserve">omplementar y coordinar sus respectivos planes de actuación a fin de optimizar la utilización de sus respectivos recursos en beneficio de las </w:t>
      </w:r>
      <w:r w:rsidR="00822577" w:rsidRPr="00684C6F">
        <w:rPr>
          <w:rFonts w:ascii="Tahoma" w:hAnsi="Tahoma" w:cs="Tahoma"/>
          <w:szCs w:val="24"/>
        </w:rPr>
        <w:t>pymes y autónomos de la provincia de Albacete; d</w:t>
      </w:r>
      <w:r w:rsidRPr="00684C6F">
        <w:rPr>
          <w:rFonts w:ascii="Tahoma" w:hAnsi="Tahoma" w:cs="Tahoma"/>
          <w:szCs w:val="24"/>
        </w:rPr>
        <w:t>esarrollar las sinergias que permitan maximizar el alca</w:t>
      </w:r>
      <w:r w:rsidR="00822577" w:rsidRPr="00684C6F">
        <w:rPr>
          <w:rFonts w:ascii="Tahoma" w:hAnsi="Tahoma" w:cs="Tahoma"/>
          <w:szCs w:val="24"/>
        </w:rPr>
        <w:t>nce de sus acciones y servicios, y co</w:t>
      </w:r>
      <w:r w:rsidRPr="00684C6F">
        <w:rPr>
          <w:rFonts w:ascii="Tahoma" w:hAnsi="Tahoma" w:cs="Tahoma"/>
          <w:szCs w:val="24"/>
        </w:rPr>
        <w:t>nsolidar un marco de participación institucional que dote de estabilidad y solidez al presente acuerdo.</w:t>
      </w:r>
    </w:p>
    <w:p w:rsidR="00822577" w:rsidRPr="00684C6F" w:rsidRDefault="00822577" w:rsidP="00822577">
      <w:pPr>
        <w:spacing w:after="160" w:line="256" w:lineRule="auto"/>
        <w:contextualSpacing/>
        <w:rPr>
          <w:rFonts w:ascii="Tahoma" w:hAnsi="Tahoma" w:cs="Tahoma"/>
          <w:szCs w:val="24"/>
        </w:rPr>
      </w:pPr>
    </w:p>
    <w:p w:rsidR="00822577" w:rsidRPr="00684C6F" w:rsidRDefault="00822577" w:rsidP="00822577">
      <w:pPr>
        <w:spacing w:after="160" w:line="256" w:lineRule="auto"/>
        <w:contextualSpacing/>
        <w:rPr>
          <w:rFonts w:ascii="Tahoma" w:hAnsi="Tahoma" w:cs="Tahoma"/>
          <w:szCs w:val="24"/>
        </w:rPr>
      </w:pPr>
      <w:r w:rsidRPr="00684C6F">
        <w:rPr>
          <w:rFonts w:ascii="Tahoma" w:hAnsi="Tahoma" w:cs="Tahoma"/>
          <w:szCs w:val="24"/>
        </w:rPr>
        <w:t>Las áreas de colaboración se concretan en la disposición de medios humanos y materiales, participación institucional, comercio internacional, comercio interior y formación. Finalmente, ambas partes entienden que se debe establecer un procedimiento de coordinación que, con periodicidad anual, permita la puesta en común de los respectivos planes de actuación, la redacción de programa operativo conjunto y seguimiento de la ejecución de dicho programa operativo.</w:t>
      </w:r>
    </w:p>
    <w:p w:rsidR="00684C6F" w:rsidRPr="00684C6F" w:rsidRDefault="00684C6F" w:rsidP="00822577">
      <w:pPr>
        <w:spacing w:after="160" w:line="256" w:lineRule="auto"/>
        <w:contextualSpacing/>
        <w:rPr>
          <w:rFonts w:ascii="Tahoma" w:hAnsi="Tahoma" w:cs="Tahoma"/>
          <w:szCs w:val="24"/>
        </w:rPr>
      </w:pPr>
    </w:p>
    <w:p w:rsidR="00684C6F" w:rsidRPr="00684C6F" w:rsidRDefault="00684C6F" w:rsidP="00822577">
      <w:pPr>
        <w:spacing w:after="160" w:line="256" w:lineRule="auto"/>
        <w:contextualSpacing/>
        <w:rPr>
          <w:rFonts w:ascii="Tahoma" w:hAnsi="Tahoma" w:cs="Tahoma"/>
          <w:szCs w:val="24"/>
        </w:rPr>
      </w:pPr>
    </w:p>
    <w:p w:rsidR="00684C6F" w:rsidRPr="00684C6F" w:rsidRDefault="00684C6F" w:rsidP="00822577">
      <w:pPr>
        <w:spacing w:after="160" w:line="256" w:lineRule="auto"/>
        <w:contextualSpacing/>
        <w:rPr>
          <w:rFonts w:ascii="Tahoma" w:hAnsi="Tahoma" w:cs="Tahoma"/>
          <w:szCs w:val="24"/>
        </w:rPr>
      </w:pPr>
    </w:p>
    <w:p w:rsidR="00822577" w:rsidRPr="00684C6F" w:rsidRDefault="00822577" w:rsidP="00822577">
      <w:pPr>
        <w:spacing w:after="160" w:line="256" w:lineRule="auto"/>
        <w:contextualSpacing/>
        <w:rPr>
          <w:rFonts w:ascii="Tahoma" w:hAnsi="Tahoma" w:cs="Tahoma"/>
          <w:szCs w:val="24"/>
        </w:rPr>
      </w:pPr>
    </w:p>
    <w:p w:rsidR="00822577" w:rsidRPr="00684C6F" w:rsidRDefault="00822577" w:rsidP="00822577">
      <w:pPr>
        <w:spacing w:after="160" w:line="256" w:lineRule="auto"/>
        <w:contextualSpacing/>
        <w:rPr>
          <w:rFonts w:ascii="Tahoma" w:hAnsi="Tahoma" w:cs="Tahoma"/>
          <w:szCs w:val="24"/>
        </w:rPr>
      </w:pPr>
      <w:r w:rsidRPr="00684C6F">
        <w:rPr>
          <w:rFonts w:ascii="Tahoma" w:hAnsi="Tahoma" w:cs="Tahoma"/>
          <w:szCs w:val="24"/>
        </w:rPr>
        <w:t xml:space="preserve">Cabe resaltar que en el en todo lo relacionado con el comercio internacional, el acuerdo marco reconoce a </w:t>
      </w:r>
      <w:hyperlink r:id="rId11" w:history="1">
        <w:r w:rsidRPr="00684C6F">
          <w:rPr>
            <w:rStyle w:val="Hipervnculo"/>
            <w:rFonts w:ascii="Tahoma" w:hAnsi="Tahoma" w:cs="Tahoma"/>
            <w:szCs w:val="24"/>
          </w:rPr>
          <w:t>ADIEX</w:t>
        </w:r>
      </w:hyperlink>
      <w:r w:rsidRPr="00684C6F">
        <w:rPr>
          <w:rFonts w:ascii="Tahoma" w:hAnsi="Tahoma" w:cs="Tahoma"/>
          <w:szCs w:val="24"/>
        </w:rPr>
        <w:t xml:space="preserve">, la Asociación de Importadores y Exportadores de Albacete, integrada en FEDA, como interlocutor natural para determinar prioridades, actuaciones y necesidades del sector exportador e importador de la provincia, y en la misma línea en el caso del comercio interior y el reconocimiento de </w:t>
      </w:r>
      <w:hyperlink r:id="rId12" w:history="1">
        <w:r w:rsidRPr="00684C6F">
          <w:rPr>
            <w:rStyle w:val="Hipervnculo"/>
            <w:rFonts w:ascii="Tahoma" w:hAnsi="Tahoma" w:cs="Tahoma"/>
            <w:szCs w:val="24"/>
          </w:rPr>
          <w:t>FECOM</w:t>
        </w:r>
      </w:hyperlink>
      <w:r w:rsidRPr="00684C6F">
        <w:rPr>
          <w:rFonts w:ascii="Tahoma" w:hAnsi="Tahoma" w:cs="Tahoma"/>
          <w:szCs w:val="24"/>
        </w:rPr>
        <w:t xml:space="preserve"> como el interlocutor y representación del </w:t>
      </w:r>
      <w:hyperlink r:id="rId13" w:history="1">
        <w:r w:rsidRPr="00684C6F">
          <w:rPr>
            <w:rStyle w:val="Hipervnculo"/>
            <w:rFonts w:ascii="Tahoma" w:hAnsi="Tahoma" w:cs="Tahoma"/>
            <w:szCs w:val="24"/>
          </w:rPr>
          <w:t>pequeño comercio</w:t>
        </w:r>
      </w:hyperlink>
      <w:r w:rsidRPr="00684C6F">
        <w:rPr>
          <w:rFonts w:ascii="Tahoma" w:hAnsi="Tahoma" w:cs="Tahoma"/>
          <w:szCs w:val="24"/>
        </w:rPr>
        <w:t>.</w:t>
      </w:r>
    </w:p>
    <w:p w:rsidR="00822577" w:rsidRPr="00684C6F" w:rsidRDefault="00822577" w:rsidP="00822577">
      <w:pPr>
        <w:spacing w:after="160" w:line="256" w:lineRule="auto"/>
        <w:contextualSpacing/>
        <w:rPr>
          <w:rFonts w:ascii="Tahoma" w:hAnsi="Tahoma" w:cs="Tahoma"/>
          <w:szCs w:val="24"/>
        </w:rPr>
      </w:pPr>
    </w:p>
    <w:p w:rsidR="00587FC2" w:rsidRPr="00684C6F" w:rsidRDefault="00822577" w:rsidP="00684C6F">
      <w:pPr>
        <w:spacing w:after="160" w:line="256" w:lineRule="auto"/>
        <w:contextualSpacing/>
        <w:rPr>
          <w:rFonts w:ascii="Tahoma" w:hAnsi="Tahoma" w:cs="Tahoma"/>
          <w:color w:val="000000"/>
          <w:szCs w:val="24"/>
          <w:lang w:eastAsia="es-ES_tradnl"/>
        </w:rPr>
      </w:pPr>
      <w:r w:rsidRPr="00684C6F">
        <w:rPr>
          <w:rFonts w:ascii="Tahoma" w:hAnsi="Tahoma" w:cs="Tahoma"/>
          <w:szCs w:val="24"/>
        </w:rPr>
        <w:t xml:space="preserve">En cuanto a formación, </w:t>
      </w:r>
      <w:r w:rsidR="00684C6F" w:rsidRPr="00684C6F">
        <w:rPr>
          <w:rFonts w:ascii="Tahoma" w:hAnsi="Tahoma" w:cs="Tahoma"/>
          <w:szCs w:val="24"/>
        </w:rPr>
        <w:t xml:space="preserve">el objeto es procurar que los planes formativos de </w:t>
      </w:r>
      <w:hyperlink r:id="rId14" w:history="1">
        <w:r w:rsidRPr="00684C6F">
          <w:rPr>
            <w:rStyle w:val="Hipervnculo"/>
            <w:rFonts w:ascii="Tahoma" w:hAnsi="Tahoma" w:cs="Tahoma"/>
            <w:szCs w:val="24"/>
          </w:rPr>
          <w:t>Cámara</w:t>
        </w:r>
      </w:hyperlink>
      <w:r w:rsidRPr="00684C6F">
        <w:rPr>
          <w:rFonts w:ascii="Tahoma" w:hAnsi="Tahoma" w:cs="Tahoma"/>
          <w:szCs w:val="24"/>
        </w:rPr>
        <w:t xml:space="preserve"> y </w:t>
      </w:r>
      <w:hyperlink r:id="rId15" w:history="1">
        <w:r w:rsidRPr="00684C6F">
          <w:rPr>
            <w:rStyle w:val="Hipervnculo"/>
            <w:rFonts w:ascii="Tahoma" w:hAnsi="Tahoma" w:cs="Tahoma"/>
            <w:szCs w:val="24"/>
          </w:rPr>
          <w:t>FEDA</w:t>
        </w:r>
      </w:hyperlink>
      <w:r w:rsidR="00684C6F" w:rsidRPr="00684C6F">
        <w:rPr>
          <w:rFonts w:ascii="Tahoma" w:hAnsi="Tahoma" w:cs="Tahoma"/>
          <w:szCs w:val="24"/>
        </w:rPr>
        <w:t>, respectivamente, no se solapen, procurando la complementariedad y suficiente alcance de los mismos.</w:t>
      </w:r>
    </w:p>
    <w:sectPr w:rsidR="00587FC2" w:rsidRPr="00684C6F" w:rsidSect="000D4D85">
      <w:headerReference w:type="default" r:id="rId16"/>
      <w:footerReference w:type="even" r:id="rId17"/>
      <w:footerReference w:type="default" r:id="rId18"/>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D914F3">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D914F3"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D914F3"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D914F3"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D914F3"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D914F3"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D914F3"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CC35645"/>
    <w:multiLevelType w:val="hybridMultilevel"/>
    <w:tmpl w:val="963864BC"/>
    <w:lvl w:ilvl="0" w:tplc="0C0A0001">
      <w:start w:val="1"/>
      <w:numFmt w:val="bullet"/>
      <w:lvlText w:val=""/>
      <w:lvlJc w:val="left"/>
      <w:pPr>
        <w:ind w:left="294" w:hanging="360"/>
      </w:pPr>
      <w:rPr>
        <w:rFonts w:ascii="Symbol" w:hAnsi="Symbol" w:hint="default"/>
      </w:rPr>
    </w:lvl>
    <w:lvl w:ilvl="1" w:tplc="0C0A0003" w:tentative="1">
      <w:start w:val="1"/>
      <w:numFmt w:val="bullet"/>
      <w:lvlText w:val="o"/>
      <w:lvlJc w:val="left"/>
      <w:pPr>
        <w:ind w:left="1014" w:hanging="360"/>
      </w:pPr>
      <w:rPr>
        <w:rFonts w:ascii="Courier New" w:hAnsi="Courier New" w:cs="Courier New" w:hint="default"/>
      </w:rPr>
    </w:lvl>
    <w:lvl w:ilvl="2" w:tplc="0C0A0005" w:tentative="1">
      <w:start w:val="1"/>
      <w:numFmt w:val="bullet"/>
      <w:lvlText w:val=""/>
      <w:lvlJc w:val="left"/>
      <w:pPr>
        <w:ind w:left="1734" w:hanging="360"/>
      </w:pPr>
      <w:rPr>
        <w:rFonts w:ascii="Wingdings" w:hAnsi="Wingdings" w:hint="default"/>
      </w:rPr>
    </w:lvl>
    <w:lvl w:ilvl="3" w:tplc="0C0A0001" w:tentative="1">
      <w:start w:val="1"/>
      <w:numFmt w:val="bullet"/>
      <w:lvlText w:val=""/>
      <w:lvlJc w:val="left"/>
      <w:pPr>
        <w:ind w:left="2454" w:hanging="360"/>
      </w:pPr>
      <w:rPr>
        <w:rFonts w:ascii="Symbol" w:hAnsi="Symbol" w:hint="default"/>
      </w:rPr>
    </w:lvl>
    <w:lvl w:ilvl="4" w:tplc="0C0A0003" w:tentative="1">
      <w:start w:val="1"/>
      <w:numFmt w:val="bullet"/>
      <w:lvlText w:val="o"/>
      <w:lvlJc w:val="left"/>
      <w:pPr>
        <w:ind w:left="3174" w:hanging="360"/>
      </w:pPr>
      <w:rPr>
        <w:rFonts w:ascii="Courier New" w:hAnsi="Courier New" w:cs="Courier New" w:hint="default"/>
      </w:rPr>
    </w:lvl>
    <w:lvl w:ilvl="5" w:tplc="0C0A0005" w:tentative="1">
      <w:start w:val="1"/>
      <w:numFmt w:val="bullet"/>
      <w:lvlText w:val=""/>
      <w:lvlJc w:val="left"/>
      <w:pPr>
        <w:ind w:left="3894" w:hanging="360"/>
      </w:pPr>
      <w:rPr>
        <w:rFonts w:ascii="Wingdings" w:hAnsi="Wingdings" w:hint="default"/>
      </w:rPr>
    </w:lvl>
    <w:lvl w:ilvl="6" w:tplc="0C0A0001" w:tentative="1">
      <w:start w:val="1"/>
      <w:numFmt w:val="bullet"/>
      <w:lvlText w:val=""/>
      <w:lvlJc w:val="left"/>
      <w:pPr>
        <w:ind w:left="4614" w:hanging="360"/>
      </w:pPr>
      <w:rPr>
        <w:rFonts w:ascii="Symbol" w:hAnsi="Symbol" w:hint="default"/>
      </w:rPr>
    </w:lvl>
    <w:lvl w:ilvl="7" w:tplc="0C0A0003" w:tentative="1">
      <w:start w:val="1"/>
      <w:numFmt w:val="bullet"/>
      <w:lvlText w:val="o"/>
      <w:lvlJc w:val="left"/>
      <w:pPr>
        <w:ind w:left="5334" w:hanging="360"/>
      </w:pPr>
      <w:rPr>
        <w:rFonts w:ascii="Courier New" w:hAnsi="Courier New" w:cs="Courier New" w:hint="default"/>
      </w:rPr>
    </w:lvl>
    <w:lvl w:ilvl="8" w:tplc="0C0A0005" w:tentative="1">
      <w:start w:val="1"/>
      <w:numFmt w:val="bullet"/>
      <w:lvlText w:val=""/>
      <w:lvlJc w:val="left"/>
      <w:pPr>
        <w:ind w:left="6054" w:hanging="360"/>
      </w:pPr>
      <w:rPr>
        <w:rFonts w:ascii="Wingdings" w:hAnsi="Wingdings" w:hint="default"/>
      </w:rPr>
    </w:lvl>
  </w:abstractNum>
  <w:abstractNum w:abstractNumId="8" w15:restartNumberingAfterBreak="0">
    <w:nsid w:val="0DAC3A0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E8421CC"/>
    <w:multiLevelType w:val="hybridMultilevel"/>
    <w:tmpl w:val="89F865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EC37FD1"/>
    <w:multiLevelType w:val="hybridMultilevel"/>
    <w:tmpl w:val="A0B012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13E2F8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B7511DA"/>
    <w:multiLevelType w:val="hybridMultilevel"/>
    <w:tmpl w:val="677437E0"/>
    <w:lvl w:ilvl="0" w:tplc="9E7EB2DE">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 w15:restartNumberingAfterBreak="0">
    <w:nsid w:val="202C62D0"/>
    <w:multiLevelType w:val="hybridMultilevel"/>
    <w:tmpl w:val="4844A9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54F6E0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AF10936"/>
    <w:multiLevelType w:val="hybridMultilevel"/>
    <w:tmpl w:val="08E6A4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AF6500C"/>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8E449A2"/>
    <w:multiLevelType w:val="hybridMultilevel"/>
    <w:tmpl w:val="0DE67D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DEA6D58"/>
    <w:multiLevelType w:val="hybridMultilevel"/>
    <w:tmpl w:val="A7CA7B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F4032C5"/>
    <w:multiLevelType w:val="hybridMultilevel"/>
    <w:tmpl w:val="E92E41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33A3A37"/>
    <w:multiLevelType w:val="hybridMultilevel"/>
    <w:tmpl w:val="0FB63A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1">
    <w:nsid w:val="509B01DE"/>
    <w:multiLevelType w:val="hybridMultilevel"/>
    <w:tmpl w:val="BAD4D3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3" w15:restartNumberingAfterBreak="0">
    <w:nsid w:val="6D871951"/>
    <w:multiLevelType w:val="hybridMultilevel"/>
    <w:tmpl w:val="3400580A"/>
    <w:lvl w:ilvl="0" w:tplc="DB361F68">
      <w:start w:val="1"/>
      <w:numFmt w:val="upperRoman"/>
      <w:lvlText w:val="%1."/>
      <w:lvlJc w:val="left"/>
      <w:pPr>
        <w:ind w:left="720" w:hanging="72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4" w15:restartNumberingAfterBreak="0">
    <w:nsid w:val="6DBD3375"/>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E353511"/>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2"/>
  </w:num>
  <w:num w:numId="2">
    <w:abstractNumId w:val="6"/>
  </w:num>
  <w:num w:numId="3">
    <w:abstractNumId w:val="2"/>
  </w:num>
  <w:num w:numId="4">
    <w:abstractNumId w:val="1"/>
  </w:num>
  <w:num w:numId="5">
    <w:abstractNumId w:val="0"/>
  </w:num>
  <w:num w:numId="6">
    <w:abstractNumId w:val="19"/>
  </w:num>
  <w:num w:numId="7">
    <w:abstractNumId w:val="21"/>
  </w:num>
  <w:num w:numId="8">
    <w:abstractNumId w:val="18"/>
  </w:num>
  <w:num w:numId="9">
    <w:abstractNumId w:val="10"/>
  </w:num>
  <w:num w:numId="10">
    <w:abstractNumId w:val="13"/>
  </w:num>
  <w:num w:numId="11">
    <w:abstractNumId w:val="9"/>
  </w:num>
  <w:num w:numId="12">
    <w:abstractNumId w:val="17"/>
  </w:num>
  <w:num w:numId="13">
    <w:abstractNumId w:val="20"/>
  </w:num>
  <w:num w:numId="14">
    <w:abstractNumId w:val="15"/>
  </w:num>
  <w:num w:numId="15">
    <w:abstractNumId w:val="8"/>
  </w:num>
  <w:num w:numId="16">
    <w:abstractNumId w:val="16"/>
  </w:num>
  <w:num w:numId="17">
    <w:abstractNumId w:val="11"/>
  </w:num>
  <w:num w:numId="18">
    <w:abstractNumId w:val="24"/>
  </w:num>
  <w:num w:numId="19">
    <w:abstractNumId w:val="25"/>
  </w:num>
  <w:num w:numId="20">
    <w:abstractNumId w:val="14"/>
  </w:num>
  <w:num w:numId="21">
    <w:abstractNumId w:val="7"/>
  </w:num>
  <w:num w:numId="22">
    <w:abstractNumId w:val="1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64B5"/>
    <w:rsid w:val="0008682D"/>
    <w:rsid w:val="000871B2"/>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207D"/>
    <w:rsid w:val="00274868"/>
    <w:rsid w:val="00274955"/>
    <w:rsid w:val="002750F0"/>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12B7"/>
    <w:rsid w:val="003C13B0"/>
    <w:rsid w:val="003C2E5D"/>
    <w:rsid w:val="003C397F"/>
    <w:rsid w:val="003C3A57"/>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C6F"/>
    <w:rsid w:val="00464D79"/>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60ED"/>
    <w:rsid w:val="00507D91"/>
    <w:rsid w:val="00510A17"/>
    <w:rsid w:val="00510A63"/>
    <w:rsid w:val="00512BF3"/>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6021"/>
    <w:rsid w:val="00646780"/>
    <w:rsid w:val="00646FAD"/>
    <w:rsid w:val="00647304"/>
    <w:rsid w:val="006529A4"/>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E79A7"/>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DF1"/>
    <w:rsid w:val="007D4410"/>
    <w:rsid w:val="007D4428"/>
    <w:rsid w:val="007D4448"/>
    <w:rsid w:val="007D4689"/>
    <w:rsid w:val="007D53D6"/>
    <w:rsid w:val="007D5F28"/>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16D"/>
    <w:rsid w:val="00857F35"/>
    <w:rsid w:val="00861AF4"/>
    <w:rsid w:val="00862AB3"/>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2A7"/>
    <w:rsid w:val="00AA2EE3"/>
    <w:rsid w:val="00AA3786"/>
    <w:rsid w:val="00AA3939"/>
    <w:rsid w:val="00AA4B48"/>
    <w:rsid w:val="00AA597D"/>
    <w:rsid w:val="00AA5D5F"/>
    <w:rsid w:val="00AA6068"/>
    <w:rsid w:val="00AA60AE"/>
    <w:rsid w:val="00AB06AE"/>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D04"/>
    <w:rsid w:val="00C72907"/>
    <w:rsid w:val="00C72A5B"/>
    <w:rsid w:val="00C7300C"/>
    <w:rsid w:val="00C74C54"/>
    <w:rsid w:val="00C74E31"/>
    <w:rsid w:val="00C76A5D"/>
    <w:rsid w:val="00C771E2"/>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76C3"/>
    <w:rsid w:val="00CA7C06"/>
    <w:rsid w:val="00CB1AF1"/>
    <w:rsid w:val="00CB1B4B"/>
    <w:rsid w:val="00CB22C3"/>
    <w:rsid w:val="00CB28E5"/>
    <w:rsid w:val="00CB2C04"/>
    <w:rsid w:val="00CB37AE"/>
    <w:rsid w:val="00CB3F6E"/>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4F3"/>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FFC"/>
    <w:rsid w:val="00FE51BC"/>
    <w:rsid w:val="00FE59E9"/>
    <w:rsid w:val="00FE6143"/>
    <w:rsid w:val="00FF02B2"/>
    <w:rsid w:val="00FF20B8"/>
    <w:rsid w:val="00FF2732"/>
    <w:rsid w:val="00FF309F"/>
    <w:rsid w:val="00FF3456"/>
    <w:rsid w:val="00FF3D89"/>
    <w:rsid w:val="00FF41EE"/>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21"/>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feda.es/te-sobran-razones/"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feda/asociaciones-junta-directiva/item/7662-federacion-de-comercio-de-albacet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diex.es/es/" TargetMode="External"/><Relationship Id="rId5" Type="http://schemas.openxmlformats.org/officeDocument/2006/relationships/webSettings" Target="webSettings.xml"/><Relationship Id="rId15" Type="http://schemas.openxmlformats.org/officeDocument/2006/relationships/hyperlink" Target="https://www.feda.es/formacion" TargetMode="External"/><Relationship Id="rId10" Type="http://schemas.openxmlformats.org/officeDocument/2006/relationships/hyperlink" Target="https://www.camaraalbacete.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www.camaraalbacete.org/formacion-pice-2021/"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DD6B3-2511-4FC6-8007-8E45F8DB0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455</Words>
  <Characters>2887</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3336</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3</cp:revision>
  <cp:lastPrinted>2021-03-16T11:17:00Z</cp:lastPrinted>
  <dcterms:created xsi:type="dcterms:W3CDTF">2021-03-25T10:19:00Z</dcterms:created>
  <dcterms:modified xsi:type="dcterms:W3CDTF">2021-03-25T10:21:00Z</dcterms:modified>
</cp:coreProperties>
</file>