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2586" w:rsidRDefault="00502586" w:rsidP="00502586">
      <w:pPr>
        <w:pStyle w:val="NormalWeb"/>
        <w:shd w:val="clear" w:color="auto" w:fill="FFFFFF"/>
        <w:spacing w:before="0" w:beforeAutospacing="0" w:after="135" w:afterAutospacing="0"/>
        <w:rPr>
          <w:rFonts w:ascii="Arial" w:hAnsi="Arial" w:cs="Arial"/>
          <w:b/>
          <w:bCs/>
          <w:color w:val="777777"/>
        </w:rPr>
      </w:pPr>
    </w:p>
    <w:p w:rsidR="000B67D4" w:rsidRDefault="00094F08" w:rsidP="000B67D4">
      <w:pPr>
        <w:pStyle w:val="Textoindependiente"/>
        <w:tabs>
          <w:tab w:val="left" w:pos="420"/>
        </w:tabs>
        <w:jc w:val="right"/>
        <w:rPr>
          <w:rFonts w:ascii="Tahoma" w:hAnsi="Tahoma" w:cs="Tahoma"/>
          <w:b w:val="0"/>
          <w:bCs/>
          <w:sz w:val="24"/>
          <w:szCs w:val="24"/>
        </w:rPr>
      </w:pPr>
      <w:r>
        <w:rPr>
          <w:rFonts w:ascii="Tahoma" w:hAnsi="Tahoma" w:cs="Tahoma"/>
          <w:b w:val="0"/>
          <w:bCs/>
          <w:sz w:val="24"/>
          <w:szCs w:val="24"/>
        </w:rPr>
        <w:t xml:space="preserve">Albacete, </w:t>
      </w:r>
      <w:r w:rsidR="00AA4E9A">
        <w:rPr>
          <w:rFonts w:ascii="Tahoma" w:hAnsi="Tahoma" w:cs="Tahoma"/>
          <w:b w:val="0"/>
          <w:bCs/>
          <w:sz w:val="24"/>
          <w:szCs w:val="24"/>
        </w:rPr>
        <w:t xml:space="preserve">14 </w:t>
      </w:r>
      <w:bookmarkStart w:id="0" w:name="_GoBack"/>
      <w:bookmarkEnd w:id="0"/>
      <w:r w:rsidR="002F5BC8">
        <w:rPr>
          <w:rFonts w:ascii="Tahoma" w:hAnsi="Tahoma" w:cs="Tahoma"/>
          <w:b w:val="0"/>
          <w:bCs/>
          <w:sz w:val="24"/>
          <w:szCs w:val="24"/>
        </w:rPr>
        <w:t xml:space="preserve">de junio </w:t>
      </w:r>
      <w:r w:rsidR="000B67D4">
        <w:rPr>
          <w:rFonts w:ascii="Tahoma" w:hAnsi="Tahoma" w:cs="Tahoma"/>
          <w:b w:val="0"/>
          <w:bCs/>
          <w:sz w:val="24"/>
          <w:szCs w:val="24"/>
        </w:rPr>
        <w:t>de 2021</w:t>
      </w:r>
    </w:p>
    <w:p w:rsidR="00711315" w:rsidRDefault="00711315" w:rsidP="000B67D4">
      <w:pPr>
        <w:pStyle w:val="Textoindependiente"/>
        <w:tabs>
          <w:tab w:val="left" w:pos="420"/>
        </w:tabs>
        <w:jc w:val="right"/>
        <w:rPr>
          <w:rFonts w:ascii="Tahoma" w:hAnsi="Tahoma" w:cs="Tahoma"/>
          <w:b w:val="0"/>
          <w:bCs/>
          <w:sz w:val="24"/>
          <w:szCs w:val="24"/>
        </w:rPr>
      </w:pPr>
    </w:p>
    <w:p w:rsidR="00B460F7" w:rsidRDefault="00B460F7" w:rsidP="00B460F7">
      <w:pPr>
        <w:jc w:val="center"/>
        <w:rPr>
          <w:rFonts w:ascii="Tahoma" w:hAnsi="Tahoma" w:cs="Tahoma"/>
          <w:b/>
          <w:sz w:val="32"/>
          <w:szCs w:val="32"/>
        </w:rPr>
      </w:pPr>
      <w:r>
        <w:rPr>
          <w:rFonts w:ascii="Tahoma" w:hAnsi="Tahoma" w:cs="Tahoma"/>
          <w:b/>
          <w:sz w:val="32"/>
          <w:szCs w:val="32"/>
        </w:rPr>
        <w:t>El tercer seminario In</w:t>
      </w:r>
      <w:r w:rsidRPr="00B460F7">
        <w:rPr>
          <w:rFonts w:ascii="Tahoma" w:hAnsi="Tahoma" w:cs="Tahoma"/>
          <w:b/>
          <w:sz w:val="32"/>
          <w:szCs w:val="32"/>
        </w:rPr>
        <w:t>FEDA pone el foco en las empresas que apuesten por sostenibilidad e igualdad de género</w:t>
      </w:r>
    </w:p>
    <w:p w:rsidR="00B460F7" w:rsidRDefault="00B460F7" w:rsidP="00B460F7">
      <w:pPr>
        <w:jc w:val="center"/>
        <w:rPr>
          <w:rFonts w:ascii="Tahoma" w:hAnsi="Tahoma" w:cs="Tahoma"/>
          <w:b/>
          <w:sz w:val="32"/>
          <w:szCs w:val="32"/>
        </w:rPr>
      </w:pPr>
    </w:p>
    <w:p w:rsidR="00616578" w:rsidRDefault="00616578" w:rsidP="00B460F7">
      <w:pPr>
        <w:jc w:val="center"/>
        <w:rPr>
          <w:rFonts w:ascii="Tahoma" w:hAnsi="Tahoma" w:cs="Tahoma"/>
          <w:b/>
          <w:sz w:val="32"/>
          <w:szCs w:val="32"/>
        </w:rPr>
      </w:pPr>
    </w:p>
    <w:p w:rsidR="00616578" w:rsidRPr="00616578" w:rsidRDefault="00616578" w:rsidP="00616578">
      <w:pPr>
        <w:pStyle w:val="Prrafodelista"/>
        <w:numPr>
          <w:ilvl w:val="3"/>
          <w:numId w:val="19"/>
        </w:numPr>
        <w:spacing w:line="240" w:lineRule="auto"/>
        <w:jc w:val="center"/>
        <w:rPr>
          <w:rFonts w:asciiTheme="minorHAnsi" w:hAnsiTheme="minorHAnsi"/>
        </w:rPr>
      </w:pPr>
      <w:r w:rsidRPr="00616578">
        <w:rPr>
          <w:rFonts w:ascii="Tahoma" w:hAnsi="Tahoma" w:cs="Tahoma"/>
          <w:b/>
        </w:rPr>
        <w:t>CaixaBank, entidad patrocinadora del seminario, presentó su programa Wengage para impulsar la igualdad de género y reforzar el rol de las mujeres en la empresa y la sociedad</w:t>
      </w:r>
    </w:p>
    <w:p w:rsidR="00B460F7" w:rsidRDefault="00B460F7" w:rsidP="00B460F7">
      <w:pPr>
        <w:pStyle w:val="Prrafodelista"/>
        <w:numPr>
          <w:ilvl w:val="0"/>
          <w:numId w:val="19"/>
        </w:numPr>
        <w:spacing w:line="240" w:lineRule="auto"/>
        <w:jc w:val="center"/>
        <w:rPr>
          <w:rFonts w:ascii="Tahoma" w:hAnsi="Tahoma" w:cs="Tahoma"/>
          <w:b/>
          <w:szCs w:val="24"/>
        </w:rPr>
      </w:pPr>
      <w:r w:rsidRPr="00B460F7">
        <w:rPr>
          <w:rFonts w:ascii="Tahoma" w:hAnsi="Tahoma" w:cs="Tahoma"/>
          <w:b/>
          <w:szCs w:val="24"/>
        </w:rPr>
        <w:t>Las empresas son realmente el motor para realizar el cambio hacia la sostenibilidad corporativa</w:t>
      </w:r>
    </w:p>
    <w:p w:rsidR="00B460F7" w:rsidRPr="00B460F7" w:rsidRDefault="00B460F7" w:rsidP="00B460F7">
      <w:pPr>
        <w:pStyle w:val="Prrafodelista"/>
        <w:numPr>
          <w:ilvl w:val="0"/>
          <w:numId w:val="19"/>
        </w:numPr>
        <w:spacing w:line="240" w:lineRule="auto"/>
        <w:jc w:val="center"/>
        <w:rPr>
          <w:rFonts w:ascii="Tahoma" w:hAnsi="Tahoma" w:cs="Tahoma"/>
          <w:b/>
          <w:szCs w:val="24"/>
        </w:rPr>
      </w:pPr>
      <w:r w:rsidRPr="00B460F7">
        <w:rPr>
          <w:rFonts w:ascii="Tahoma" w:hAnsi="Tahoma" w:cs="Tahoma"/>
          <w:b/>
          <w:szCs w:val="24"/>
        </w:rPr>
        <w:t>Hoy en día en muchas empresas la mujer está convirtiéndose en la catalizadora del cambio hacia modelos más responsables y sostenibles</w:t>
      </w:r>
    </w:p>
    <w:p w:rsidR="00B460F7" w:rsidRDefault="00B460F7" w:rsidP="00B460F7">
      <w:pPr>
        <w:rPr>
          <w:b/>
          <w:sz w:val="28"/>
          <w:szCs w:val="28"/>
        </w:rPr>
      </w:pPr>
    </w:p>
    <w:p w:rsidR="00B460F7" w:rsidRDefault="00B460F7" w:rsidP="00B460F7">
      <w:pPr>
        <w:rPr>
          <w:rFonts w:ascii="Tahoma" w:hAnsi="Tahoma" w:cs="Tahoma"/>
          <w:sz w:val="22"/>
          <w:szCs w:val="22"/>
        </w:rPr>
      </w:pPr>
      <w:r w:rsidRPr="00B460F7">
        <w:rPr>
          <w:rFonts w:ascii="Tahoma" w:hAnsi="Tahoma" w:cs="Tahoma"/>
          <w:sz w:val="22"/>
          <w:szCs w:val="22"/>
        </w:rPr>
        <w:t xml:space="preserve">La sede de la </w:t>
      </w:r>
      <w:hyperlink r:id="rId8" w:history="1">
        <w:r w:rsidRPr="00616578">
          <w:rPr>
            <w:rStyle w:val="Hipervnculo"/>
            <w:rFonts w:ascii="Tahoma" w:hAnsi="Tahoma" w:cs="Tahoma"/>
            <w:sz w:val="22"/>
            <w:szCs w:val="22"/>
          </w:rPr>
          <w:t>Confederación de Empresarios de Albacete</w:t>
        </w:r>
        <w:r w:rsidR="00616578" w:rsidRPr="00616578">
          <w:rPr>
            <w:rStyle w:val="Hipervnculo"/>
            <w:rFonts w:ascii="Tahoma" w:hAnsi="Tahoma" w:cs="Tahoma"/>
            <w:sz w:val="22"/>
            <w:szCs w:val="22"/>
          </w:rPr>
          <w:t>, FEDA</w:t>
        </w:r>
      </w:hyperlink>
      <w:r w:rsidR="00616578">
        <w:rPr>
          <w:rFonts w:ascii="Tahoma" w:hAnsi="Tahoma" w:cs="Tahoma"/>
          <w:sz w:val="22"/>
          <w:szCs w:val="22"/>
        </w:rPr>
        <w:t>,</w:t>
      </w:r>
      <w:r w:rsidRPr="00B460F7">
        <w:rPr>
          <w:rFonts w:ascii="Tahoma" w:hAnsi="Tahoma" w:cs="Tahoma"/>
          <w:sz w:val="22"/>
          <w:szCs w:val="22"/>
        </w:rPr>
        <w:t xml:space="preserve"> acogió el </w:t>
      </w:r>
      <w:hyperlink r:id="rId9" w:history="1">
        <w:r w:rsidRPr="00616578">
          <w:rPr>
            <w:rStyle w:val="Hipervnculo"/>
            <w:rFonts w:ascii="Tahoma" w:hAnsi="Tahoma" w:cs="Tahoma"/>
            <w:sz w:val="22"/>
            <w:szCs w:val="22"/>
          </w:rPr>
          <w:t>tercer seminario dinámico del Programa INFEDA</w:t>
        </w:r>
      </w:hyperlink>
      <w:r w:rsidRPr="00B460F7">
        <w:rPr>
          <w:rFonts w:ascii="Tahoma" w:hAnsi="Tahoma" w:cs="Tahoma"/>
          <w:sz w:val="22"/>
          <w:szCs w:val="22"/>
        </w:rPr>
        <w:t>, con la periodista</w:t>
      </w:r>
      <w:r w:rsidR="00616578">
        <w:rPr>
          <w:rFonts w:ascii="Tahoma" w:hAnsi="Tahoma" w:cs="Tahoma"/>
          <w:sz w:val="22"/>
          <w:szCs w:val="22"/>
        </w:rPr>
        <w:t xml:space="preserve"> </w:t>
      </w:r>
      <w:hyperlink r:id="rId10" w:history="1">
        <w:r w:rsidR="00616578" w:rsidRPr="00711315">
          <w:rPr>
            <w:rFonts w:ascii="Tahoma" w:hAnsi="Tahoma" w:cs="Tahoma"/>
            <w:color w:val="0563C1"/>
            <w:sz w:val="22"/>
            <w:szCs w:val="22"/>
            <w:u w:val="single"/>
            <w:lang w:val="es-ES"/>
          </w:rPr>
          <w:t>Laura Cárdenas Lorenzo</w:t>
        </w:r>
      </w:hyperlink>
      <w:r w:rsidRPr="00B460F7">
        <w:rPr>
          <w:rFonts w:ascii="Tahoma" w:hAnsi="Tahoma" w:cs="Tahoma"/>
          <w:sz w:val="22"/>
          <w:szCs w:val="22"/>
        </w:rPr>
        <w:t xml:space="preserve">, que habló sobre sostenibilidad corporativa e igualdad de género para transformar los negocios. </w:t>
      </w:r>
    </w:p>
    <w:p w:rsidR="00B460F7" w:rsidRPr="00B460F7" w:rsidRDefault="00B460F7" w:rsidP="00B460F7">
      <w:pPr>
        <w:rPr>
          <w:rFonts w:ascii="Tahoma" w:hAnsi="Tahoma" w:cs="Tahoma"/>
          <w:sz w:val="22"/>
          <w:szCs w:val="22"/>
        </w:rPr>
      </w:pPr>
    </w:p>
    <w:p w:rsidR="00B460F7" w:rsidRPr="00B460F7" w:rsidRDefault="00B460F7" w:rsidP="00B460F7">
      <w:pPr>
        <w:rPr>
          <w:rFonts w:ascii="Tahoma" w:hAnsi="Tahoma" w:cs="Tahoma"/>
          <w:sz w:val="22"/>
          <w:szCs w:val="22"/>
        </w:rPr>
      </w:pPr>
      <w:r w:rsidRPr="00B460F7">
        <w:rPr>
          <w:rFonts w:ascii="Tahoma" w:hAnsi="Tahoma" w:cs="Tahoma"/>
          <w:sz w:val="22"/>
          <w:szCs w:val="22"/>
        </w:rPr>
        <w:t xml:space="preserve">El evento se desarrolló en un formato mixto presencial y online, con todas las medidas de seguridad necesarias, distancia, ventilación y mascarilla obligatoria. Los asistentes que optaron por la opción online también participaron activamente a través del chat habilitado para ello. </w:t>
      </w:r>
    </w:p>
    <w:p w:rsidR="00B460F7" w:rsidRDefault="00B460F7" w:rsidP="00B460F7">
      <w:pPr>
        <w:rPr>
          <w:rFonts w:ascii="Tahoma" w:hAnsi="Tahoma" w:cs="Tahoma"/>
          <w:sz w:val="22"/>
          <w:szCs w:val="22"/>
        </w:rPr>
      </w:pPr>
      <w:r w:rsidRPr="00B460F7">
        <w:rPr>
          <w:rFonts w:ascii="Tahoma" w:hAnsi="Tahoma" w:cs="Tahoma"/>
          <w:sz w:val="22"/>
          <w:szCs w:val="22"/>
        </w:rPr>
        <w:t xml:space="preserve">Un tercer seminario INFEDA que contó con la dirección técnica de la </w:t>
      </w:r>
      <w:hyperlink r:id="rId11" w:history="1">
        <w:r w:rsidRPr="00616578">
          <w:rPr>
            <w:rStyle w:val="Hipervnculo"/>
            <w:rFonts w:ascii="Tahoma" w:hAnsi="Tahoma" w:cs="Tahoma"/>
            <w:sz w:val="22"/>
            <w:szCs w:val="22"/>
          </w:rPr>
          <w:t>Asociación de Importadores y Exportadores de Albacete</w:t>
        </w:r>
        <w:r w:rsidR="00616578" w:rsidRPr="00616578">
          <w:rPr>
            <w:rStyle w:val="Hipervnculo"/>
            <w:rFonts w:ascii="Tahoma" w:hAnsi="Tahoma" w:cs="Tahoma"/>
            <w:sz w:val="22"/>
            <w:szCs w:val="22"/>
          </w:rPr>
          <w:t xml:space="preserve">, </w:t>
        </w:r>
        <w:r w:rsidRPr="00616578">
          <w:rPr>
            <w:rStyle w:val="Hipervnculo"/>
            <w:rFonts w:ascii="Tahoma" w:hAnsi="Tahoma" w:cs="Tahoma"/>
            <w:sz w:val="22"/>
            <w:szCs w:val="22"/>
          </w:rPr>
          <w:t>ADIEX,</w:t>
        </w:r>
      </w:hyperlink>
      <w:r w:rsidRPr="00B460F7">
        <w:rPr>
          <w:rFonts w:ascii="Tahoma" w:hAnsi="Tahoma" w:cs="Tahoma"/>
          <w:sz w:val="22"/>
          <w:szCs w:val="22"/>
        </w:rPr>
        <w:t xml:space="preserve"> </w:t>
      </w:r>
      <w:r w:rsidR="00616578">
        <w:rPr>
          <w:rFonts w:ascii="Tahoma" w:hAnsi="Tahoma" w:cs="Tahoma"/>
          <w:sz w:val="22"/>
          <w:szCs w:val="22"/>
        </w:rPr>
        <w:t xml:space="preserve">el apoyo de la </w:t>
      </w:r>
      <w:hyperlink r:id="rId12" w:history="1">
        <w:r w:rsidR="00616578" w:rsidRPr="00616578">
          <w:rPr>
            <w:rStyle w:val="Hipervnculo"/>
            <w:rFonts w:ascii="Tahoma" w:hAnsi="Tahoma" w:cs="Tahoma"/>
            <w:sz w:val="22"/>
            <w:szCs w:val="22"/>
          </w:rPr>
          <w:t>red Enterprise Europe Network</w:t>
        </w:r>
      </w:hyperlink>
      <w:r w:rsidR="00616578">
        <w:rPr>
          <w:rFonts w:ascii="Tahoma" w:hAnsi="Tahoma" w:cs="Tahoma"/>
          <w:sz w:val="22"/>
          <w:szCs w:val="22"/>
        </w:rPr>
        <w:t xml:space="preserve">, </w:t>
      </w:r>
      <w:r>
        <w:rPr>
          <w:rFonts w:ascii="Tahoma" w:hAnsi="Tahoma" w:cs="Tahoma"/>
          <w:sz w:val="22"/>
          <w:szCs w:val="22"/>
        </w:rPr>
        <w:t xml:space="preserve">el patrocinio especial de </w:t>
      </w:r>
      <w:hyperlink r:id="rId13" w:history="1">
        <w:r w:rsidRPr="00616578">
          <w:rPr>
            <w:rStyle w:val="Hipervnculo"/>
            <w:rFonts w:ascii="Tahoma" w:hAnsi="Tahoma" w:cs="Tahoma"/>
            <w:sz w:val="22"/>
            <w:szCs w:val="22"/>
          </w:rPr>
          <w:t>CaixaBank</w:t>
        </w:r>
      </w:hyperlink>
      <w:r w:rsidRPr="00B460F7">
        <w:rPr>
          <w:rFonts w:ascii="Tahoma" w:hAnsi="Tahoma" w:cs="Tahoma"/>
          <w:sz w:val="22"/>
          <w:szCs w:val="22"/>
        </w:rPr>
        <w:t xml:space="preserve">, </w:t>
      </w:r>
      <w:r>
        <w:rPr>
          <w:rFonts w:ascii="Tahoma" w:hAnsi="Tahoma" w:cs="Tahoma"/>
          <w:sz w:val="22"/>
          <w:szCs w:val="22"/>
        </w:rPr>
        <w:t xml:space="preserve">y la colaboración de </w:t>
      </w:r>
      <w:hyperlink r:id="rId14" w:history="1">
        <w:r w:rsidRPr="00616578">
          <w:rPr>
            <w:rStyle w:val="Hipervnculo"/>
            <w:rFonts w:ascii="Tahoma" w:hAnsi="Tahoma" w:cs="Tahoma"/>
            <w:sz w:val="22"/>
            <w:szCs w:val="22"/>
          </w:rPr>
          <w:t>IPEX</w:t>
        </w:r>
      </w:hyperlink>
      <w:r w:rsidRPr="00B460F7">
        <w:rPr>
          <w:rFonts w:ascii="Tahoma" w:hAnsi="Tahoma" w:cs="Tahoma"/>
          <w:sz w:val="22"/>
          <w:szCs w:val="22"/>
        </w:rPr>
        <w:t xml:space="preserve">, </w:t>
      </w:r>
      <w:hyperlink r:id="rId15" w:history="1">
        <w:r w:rsidRPr="00616578">
          <w:rPr>
            <w:rStyle w:val="Hipervnculo"/>
            <w:rFonts w:ascii="Tahoma" w:hAnsi="Tahoma" w:cs="Tahoma"/>
            <w:sz w:val="22"/>
            <w:szCs w:val="22"/>
          </w:rPr>
          <w:t>CECAM</w:t>
        </w:r>
      </w:hyperlink>
      <w:r w:rsidRPr="00B460F7">
        <w:rPr>
          <w:rFonts w:ascii="Tahoma" w:hAnsi="Tahoma" w:cs="Tahoma"/>
          <w:sz w:val="22"/>
          <w:szCs w:val="22"/>
        </w:rPr>
        <w:t xml:space="preserve"> y </w:t>
      </w:r>
      <w:hyperlink r:id="rId16" w:history="1">
        <w:r w:rsidRPr="00616578">
          <w:rPr>
            <w:rStyle w:val="Hipervnculo"/>
            <w:rFonts w:ascii="Tahoma" w:hAnsi="Tahoma" w:cs="Tahoma"/>
            <w:sz w:val="22"/>
            <w:szCs w:val="22"/>
          </w:rPr>
          <w:t>Junta de Comunidades de Castilla-La Mancha.</w:t>
        </w:r>
      </w:hyperlink>
      <w:r w:rsidRPr="00B460F7">
        <w:rPr>
          <w:rFonts w:ascii="Tahoma" w:hAnsi="Tahoma" w:cs="Tahoma"/>
          <w:sz w:val="22"/>
          <w:szCs w:val="22"/>
        </w:rPr>
        <w:t xml:space="preserve"> </w:t>
      </w:r>
    </w:p>
    <w:p w:rsidR="00B460F7" w:rsidRPr="00B460F7" w:rsidRDefault="00B460F7" w:rsidP="00B460F7">
      <w:pPr>
        <w:rPr>
          <w:rFonts w:ascii="Tahoma" w:hAnsi="Tahoma" w:cs="Tahoma"/>
          <w:sz w:val="22"/>
          <w:szCs w:val="22"/>
        </w:rPr>
      </w:pPr>
    </w:p>
    <w:p w:rsidR="00B460F7" w:rsidRDefault="00B460F7" w:rsidP="00B460F7">
      <w:pPr>
        <w:rPr>
          <w:rFonts w:ascii="Tahoma" w:hAnsi="Tahoma" w:cs="Tahoma"/>
          <w:sz w:val="22"/>
          <w:szCs w:val="22"/>
        </w:rPr>
      </w:pPr>
      <w:r w:rsidRPr="00B460F7">
        <w:rPr>
          <w:rFonts w:ascii="Tahoma" w:hAnsi="Tahoma" w:cs="Tahoma"/>
          <w:sz w:val="22"/>
          <w:szCs w:val="22"/>
        </w:rPr>
        <w:t xml:space="preserve">Laura Cárdenas, asesora de comunicación para el área de Gobernanza Democrática para el programa </w:t>
      </w:r>
      <w:hyperlink r:id="rId17" w:history="1">
        <w:r w:rsidR="00AA4E9A" w:rsidRPr="00711315">
          <w:rPr>
            <w:rFonts w:ascii="Tahoma" w:hAnsi="Tahoma" w:cs="Tahoma"/>
            <w:color w:val="0563C1"/>
            <w:sz w:val="22"/>
            <w:szCs w:val="22"/>
            <w:u w:val="single"/>
            <w:lang w:val="es-ES"/>
          </w:rPr>
          <w:t>EUROsociAL</w:t>
        </w:r>
      </w:hyperlink>
      <w:r w:rsidR="00AA4E9A">
        <w:rPr>
          <w:rFonts w:ascii="Tahoma" w:hAnsi="Tahoma" w:cs="Tahoma"/>
          <w:color w:val="0563C1"/>
          <w:sz w:val="22"/>
          <w:szCs w:val="22"/>
          <w:u w:val="single"/>
          <w:lang w:val="es-ES"/>
        </w:rPr>
        <w:t xml:space="preserve"> </w:t>
      </w:r>
      <w:r w:rsidRPr="00B460F7">
        <w:rPr>
          <w:rFonts w:ascii="Tahoma" w:hAnsi="Tahoma" w:cs="Tahoma"/>
          <w:sz w:val="22"/>
          <w:szCs w:val="22"/>
        </w:rPr>
        <w:t>de la Unión Europea y</w:t>
      </w:r>
      <w:r>
        <w:rPr>
          <w:rFonts w:ascii="Tahoma" w:hAnsi="Tahoma" w:cs="Tahoma"/>
          <w:sz w:val="22"/>
          <w:szCs w:val="22"/>
        </w:rPr>
        <w:t xml:space="preserve"> del</w:t>
      </w:r>
      <w:r w:rsidRPr="00B460F7">
        <w:rPr>
          <w:rFonts w:ascii="Tahoma" w:hAnsi="Tahoma" w:cs="Tahoma"/>
          <w:sz w:val="22"/>
          <w:szCs w:val="22"/>
        </w:rPr>
        <w:t xml:space="preserve"> Programa de Naciones Unidas para el desarrollo, realizó una introducción sobre la importancia de la sostenibilidad corporativa, que ya es más que una simple tendencia en este escenario de nueva normalidad. </w:t>
      </w:r>
    </w:p>
    <w:p w:rsidR="00B460F7" w:rsidRPr="00B460F7" w:rsidRDefault="00B460F7" w:rsidP="00B460F7">
      <w:pPr>
        <w:rPr>
          <w:rFonts w:ascii="Tahoma" w:hAnsi="Tahoma" w:cs="Tahoma"/>
          <w:sz w:val="22"/>
          <w:szCs w:val="22"/>
        </w:rPr>
      </w:pPr>
    </w:p>
    <w:p w:rsidR="00B460F7" w:rsidRPr="00B460F7" w:rsidRDefault="00B460F7" w:rsidP="00B460F7">
      <w:pPr>
        <w:rPr>
          <w:rFonts w:ascii="Tahoma" w:hAnsi="Tahoma" w:cs="Tahoma"/>
          <w:sz w:val="22"/>
          <w:szCs w:val="22"/>
        </w:rPr>
      </w:pPr>
      <w:r w:rsidRPr="00B460F7">
        <w:rPr>
          <w:rFonts w:ascii="Tahoma" w:hAnsi="Tahoma" w:cs="Tahoma"/>
          <w:sz w:val="22"/>
          <w:szCs w:val="22"/>
        </w:rPr>
        <w:t>“Las empresas son realmente el motor para realizar el cambio hacia la sostenibilidad corporativa”, dijo, por lo que deben “ser capaces de alinear los diferentes de sus diferentes stakeholders y así contribuir a un propósito mayor”. En este sentido recordó que “las empresas deben tener claro cuáles son sus grupos de interés, sus stakeholders, y enfocarse hacia ellos”.</w:t>
      </w:r>
    </w:p>
    <w:p w:rsidR="00B460F7" w:rsidRDefault="00B460F7" w:rsidP="00B460F7">
      <w:pPr>
        <w:rPr>
          <w:rFonts w:ascii="Tahoma" w:hAnsi="Tahoma" w:cs="Tahoma"/>
          <w:sz w:val="22"/>
          <w:szCs w:val="22"/>
        </w:rPr>
      </w:pPr>
      <w:r w:rsidRPr="00B460F7">
        <w:rPr>
          <w:rFonts w:ascii="Tahoma" w:hAnsi="Tahoma" w:cs="Tahoma"/>
          <w:sz w:val="22"/>
          <w:szCs w:val="22"/>
        </w:rPr>
        <w:t xml:space="preserve">La ponente detalló algunas de las herramientas al alcance de las empresas que apuestan por la sostenibilidad corporativa. Por ejemplo, el Pacto Mundial de Naciones Unidas, un instrumento muy interesante de trabajo colaborativo para mejorar las cosas y que permite a las empresas sumarse a la lucha por reducir la pobreza. </w:t>
      </w:r>
    </w:p>
    <w:p w:rsidR="00B460F7" w:rsidRPr="00B460F7" w:rsidRDefault="00B460F7" w:rsidP="00B460F7">
      <w:pPr>
        <w:rPr>
          <w:rFonts w:ascii="Tahoma" w:hAnsi="Tahoma" w:cs="Tahoma"/>
          <w:sz w:val="22"/>
          <w:szCs w:val="22"/>
        </w:rPr>
      </w:pPr>
    </w:p>
    <w:p w:rsidR="00B460F7" w:rsidRDefault="00B460F7" w:rsidP="00B460F7">
      <w:pPr>
        <w:rPr>
          <w:rFonts w:ascii="Tahoma" w:hAnsi="Tahoma" w:cs="Tahoma"/>
          <w:sz w:val="22"/>
          <w:szCs w:val="22"/>
        </w:rPr>
      </w:pPr>
      <w:r w:rsidRPr="00B460F7">
        <w:rPr>
          <w:rFonts w:ascii="Tahoma" w:hAnsi="Tahoma" w:cs="Tahoma"/>
          <w:sz w:val="22"/>
          <w:szCs w:val="22"/>
        </w:rPr>
        <w:t>En la segunda parte de la sesión se centró más en la igualdad de género como herramienta de transformación, explicando que las compañías “no pueden utilizar la igualdad de género simplemente como elemento publicitario”. Pidió coherencia a las empresas a la hora de posicionarse en este sentido, dando ejemplos de buenas prácticas.</w:t>
      </w:r>
    </w:p>
    <w:p w:rsidR="00B460F7" w:rsidRPr="00B460F7" w:rsidRDefault="00B460F7" w:rsidP="00B460F7">
      <w:pPr>
        <w:rPr>
          <w:rFonts w:ascii="Tahoma" w:hAnsi="Tahoma" w:cs="Tahoma"/>
          <w:sz w:val="22"/>
          <w:szCs w:val="22"/>
        </w:rPr>
      </w:pPr>
    </w:p>
    <w:p w:rsidR="00B460F7" w:rsidRDefault="00B460F7" w:rsidP="00B460F7">
      <w:pPr>
        <w:rPr>
          <w:rFonts w:ascii="Tahoma" w:hAnsi="Tahoma" w:cs="Tahoma"/>
          <w:sz w:val="22"/>
          <w:szCs w:val="22"/>
        </w:rPr>
      </w:pPr>
      <w:r w:rsidRPr="00B460F7">
        <w:rPr>
          <w:rFonts w:ascii="Tahoma" w:hAnsi="Tahoma" w:cs="Tahoma"/>
          <w:sz w:val="22"/>
          <w:szCs w:val="22"/>
        </w:rPr>
        <w:t>Sobre este tema, destacó la importancia de fomentar la igualdad de género en la empresa, implementar planes de conciliación, tolerancia cero a la violencia, apostar por proveedores que también apoyen la igualdad o implantar políticas salariales igualitarias. En este sentido, afirmó que “hoy en día en muchas empresas la mujer está convirtiéndose en la catalizadora del cambio hacia modelos más responsables y sostenibles”.</w:t>
      </w:r>
    </w:p>
    <w:p w:rsidR="00B460F7" w:rsidRPr="00B460F7" w:rsidRDefault="00B460F7" w:rsidP="00B460F7">
      <w:pPr>
        <w:rPr>
          <w:rFonts w:ascii="Tahoma" w:hAnsi="Tahoma" w:cs="Tahoma"/>
          <w:sz w:val="22"/>
          <w:szCs w:val="22"/>
        </w:rPr>
      </w:pPr>
    </w:p>
    <w:p w:rsidR="00B460F7" w:rsidRDefault="00B460F7" w:rsidP="00B460F7">
      <w:pPr>
        <w:rPr>
          <w:rFonts w:ascii="Tahoma" w:hAnsi="Tahoma" w:cs="Tahoma"/>
          <w:sz w:val="22"/>
          <w:szCs w:val="22"/>
        </w:rPr>
      </w:pPr>
      <w:r w:rsidRPr="00B460F7">
        <w:rPr>
          <w:rFonts w:ascii="Tahoma" w:hAnsi="Tahoma" w:cs="Tahoma"/>
          <w:sz w:val="22"/>
          <w:szCs w:val="22"/>
        </w:rPr>
        <w:t xml:space="preserve">En la parte final de su intervención realizó un pequeño ejercicio práctico para conocer la política de sostenibilidad de cada una de las empresas asistentes. </w:t>
      </w:r>
    </w:p>
    <w:p w:rsidR="00B460F7" w:rsidRPr="00B460F7" w:rsidRDefault="00B460F7" w:rsidP="00B460F7">
      <w:pPr>
        <w:rPr>
          <w:rFonts w:ascii="Tahoma" w:hAnsi="Tahoma" w:cs="Tahoma"/>
          <w:sz w:val="22"/>
          <w:szCs w:val="22"/>
        </w:rPr>
      </w:pPr>
    </w:p>
    <w:p w:rsidR="00B460F7" w:rsidRDefault="00B460F7" w:rsidP="00B460F7">
      <w:pPr>
        <w:rPr>
          <w:rFonts w:ascii="Tahoma" w:hAnsi="Tahoma" w:cs="Tahoma"/>
          <w:b/>
          <w:sz w:val="22"/>
          <w:szCs w:val="22"/>
        </w:rPr>
      </w:pPr>
      <w:r w:rsidRPr="00B460F7">
        <w:rPr>
          <w:rFonts w:ascii="Tahoma" w:hAnsi="Tahoma" w:cs="Tahoma"/>
          <w:b/>
          <w:sz w:val="22"/>
          <w:szCs w:val="22"/>
        </w:rPr>
        <w:t>Programa Wengage</w:t>
      </w:r>
    </w:p>
    <w:p w:rsidR="00B460F7" w:rsidRPr="00B460F7" w:rsidRDefault="00B460F7" w:rsidP="00B460F7">
      <w:pPr>
        <w:rPr>
          <w:rFonts w:ascii="Tahoma" w:hAnsi="Tahoma" w:cs="Tahoma"/>
          <w:b/>
          <w:sz w:val="22"/>
          <w:szCs w:val="22"/>
        </w:rPr>
      </w:pPr>
    </w:p>
    <w:p w:rsidR="00B460F7" w:rsidRDefault="00B460F7" w:rsidP="00B460F7">
      <w:pPr>
        <w:rPr>
          <w:rFonts w:ascii="Tahoma" w:hAnsi="Tahoma" w:cs="Tahoma"/>
          <w:sz w:val="22"/>
          <w:szCs w:val="22"/>
        </w:rPr>
      </w:pPr>
      <w:r w:rsidRPr="00B460F7">
        <w:rPr>
          <w:rFonts w:ascii="Tahoma" w:hAnsi="Tahoma" w:cs="Tahoma"/>
          <w:sz w:val="22"/>
          <w:szCs w:val="22"/>
        </w:rPr>
        <w:t xml:space="preserve">El seminario comenzó con la presentación del </w:t>
      </w:r>
      <w:hyperlink r:id="rId18" w:history="1">
        <w:r w:rsidRPr="00616578">
          <w:rPr>
            <w:rStyle w:val="Hipervnculo"/>
            <w:rFonts w:ascii="Tahoma" w:hAnsi="Tahoma" w:cs="Tahoma"/>
            <w:sz w:val="22"/>
            <w:szCs w:val="22"/>
          </w:rPr>
          <w:t>Programa Wengage de CaixaBank</w:t>
        </w:r>
      </w:hyperlink>
      <w:r>
        <w:rPr>
          <w:rFonts w:ascii="Tahoma" w:hAnsi="Tahoma" w:cs="Tahoma"/>
          <w:sz w:val="22"/>
          <w:szCs w:val="22"/>
        </w:rPr>
        <w:t xml:space="preserve">, entidad patrocinadora </w:t>
      </w:r>
      <w:r w:rsidRPr="00B460F7">
        <w:rPr>
          <w:rFonts w:ascii="Tahoma" w:hAnsi="Tahoma" w:cs="Tahoma"/>
          <w:sz w:val="22"/>
          <w:szCs w:val="22"/>
        </w:rPr>
        <w:t xml:space="preserve">en este seminario. A través de un vídeo se explicaron las líneas principales de este programa, con el que la entidad financiera pretende impulsar la igualdad de género y reforzar el rol de las mujeres en la empresa y la sociedad. Wengage también quiere impulsar el debate social sobre diversidad e incluye programas de mentoring para mujeres, charlas sobre liderazgo y apoyo al deporte femenino. </w:t>
      </w:r>
    </w:p>
    <w:p w:rsidR="00B460F7" w:rsidRDefault="00B460F7" w:rsidP="00B460F7">
      <w:pPr>
        <w:rPr>
          <w:rFonts w:ascii="Tahoma" w:hAnsi="Tahoma" w:cs="Tahoma"/>
          <w:sz w:val="22"/>
          <w:szCs w:val="22"/>
        </w:rPr>
      </w:pPr>
    </w:p>
    <w:p w:rsidR="00B460F7" w:rsidRPr="00B460F7" w:rsidRDefault="00B460F7" w:rsidP="00B460F7">
      <w:pPr>
        <w:autoSpaceDE w:val="0"/>
        <w:autoSpaceDN w:val="0"/>
        <w:adjustRightInd w:val="0"/>
        <w:rPr>
          <w:rFonts w:ascii="Tahoma" w:hAnsi="Tahoma" w:cs="Tahoma"/>
          <w:sz w:val="22"/>
          <w:szCs w:val="22"/>
          <w:lang w:val="es-ES"/>
        </w:rPr>
      </w:pPr>
      <w:r w:rsidRPr="00B460F7">
        <w:rPr>
          <w:rFonts w:ascii="Tahoma" w:hAnsi="Tahoma" w:cs="Tahoma"/>
          <w:sz w:val="22"/>
          <w:szCs w:val="22"/>
          <w:lang w:val="es-ES"/>
        </w:rPr>
        <w:t xml:space="preserve">Wengage incluye medidas internas para fomentar la flexibilidad y la conciliación, para visibilizar la diversidad y para reforzar el rol de la mujer, con programas de formación o los planes de mentoring femenino, mediante los cuales directivas de la entidad asesoran a otras profesionales en el desarrollo de su carrera profesional. </w:t>
      </w:r>
    </w:p>
    <w:p w:rsidR="00B460F7" w:rsidRPr="00B460F7" w:rsidRDefault="00B460F7" w:rsidP="00B460F7">
      <w:pPr>
        <w:autoSpaceDE w:val="0"/>
        <w:autoSpaceDN w:val="0"/>
        <w:adjustRightInd w:val="0"/>
        <w:rPr>
          <w:rFonts w:ascii="Tahoma" w:hAnsi="Tahoma" w:cs="Tahoma"/>
          <w:sz w:val="22"/>
          <w:szCs w:val="22"/>
          <w:lang w:val="es-ES"/>
        </w:rPr>
      </w:pPr>
    </w:p>
    <w:p w:rsidR="00B460F7" w:rsidRPr="00B460F7" w:rsidRDefault="00B460F7" w:rsidP="00B460F7">
      <w:pPr>
        <w:autoSpaceDE w:val="0"/>
        <w:autoSpaceDN w:val="0"/>
        <w:adjustRightInd w:val="0"/>
        <w:rPr>
          <w:rFonts w:ascii="Tahoma" w:hAnsi="Tahoma" w:cs="Tahoma"/>
          <w:sz w:val="22"/>
          <w:szCs w:val="22"/>
          <w:lang w:val="es-ES"/>
        </w:rPr>
      </w:pPr>
      <w:r w:rsidRPr="00B460F7">
        <w:rPr>
          <w:rFonts w:ascii="Tahoma" w:hAnsi="Tahoma" w:cs="Tahoma"/>
          <w:sz w:val="22"/>
          <w:szCs w:val="22"/>
          <w:lang w:val="es-ES"/>
        </w:rPr>
        <w:t>Además, también desarrolla iniciativas a nivel externo para los clientes y la sociedad, basándose impulsar la diversidad e igualdad de oportunidades en 3 ámbitos de actuación: liderazgo y emprendimiento, innovación y educación, y deporte.</w:t>
      </w:r>
    </w:p>
    <w:p w:rsidR="00B460F7" w:rsidRPr="00B460F7" w:rsidRDefault="00B460F7" w:rsidP="00B460F7">
      <w:pPr>
        <w:rPr>
          <w:rFonts w:ascii="Tahoma" w:hAnsi="Tahoma" w:cs="Tahoma"/>
          <w:sz w:val="22"/>
          <w:szCs w:val="22"/>
        </w:rPr>
      </w:pPr>
    </w:p>
    <w:p w:rsidR="00B460F7" w:rsidRDefault="00B460F7" w:rsidP="00B460F7">
      <w:pPr>
        <w:rPr>
          <w:rFonts w:ascii="Tahoma" w:hAnsi="Tahoma" w:cs="Tahoma"/>
          <w:sz w:val="22"/>
          <w:szCs w:val="22"/>
        </w:rPr>
      </w:pPr>
      <w:r w:rsidRPr="00B460F7">
        <w:rPr>
          <w:rFonts w:ascii="Tahoma" w:hAnsi="Tahoma" w:cs="Tahoma"/>
          <w:sz w:val="22"/>
          <w:szCs w:val="22"/>
        </w:rPr>
        <w:t xml:space="preserve">En esta primera parte del seminario intervino también Evelin R. Molano. La responsable del </w:t>
      </w:r>
      <w:hyperlink r:id="rId19" w:history="1">
        <w:r w:rsidRPr="00AA4E9A">
          <w:rPr>
            <w:rStyle w:val="Hipervnculo"/>
            <w:rFonts w:ascii="Tahoma" w:hAnsi="Tahoma" w:cs="Tahoma"/>
            <w:sz w:val="22"/>
            <w:szCs w:val="22"/>
          </w:rPr>
          <w:t>Departamento de Asociaciones y Áreas Técnicas de FEDA</w:t>
        </w:r>
      </w:hyperlink>
      <w:r w:rsidRPr="00B460F7">
        <w:rPr>
          <w:rFonts w:ascii="Tahoma" w:hAnsi="Tahoma" w:cs="Tahoma"/>
          <w:sz w:val="22"/>
          <w:szCs w:val="22"/>
        </w:rPr>
        <w:t xml:space="preserve"> dio unas pinceladas sobre la </w:t>
      </w:r>
      <w:hyperlink r:id="rId20" w:history="1">
        <w:r w:rsidRPr="00616578">
          <w:rPr>
            <w:rStyle w:val="Hipervnculo"/>
            <w:rFonts w:ascii="Tahoma" w:hAnsi="Tahoma" w:cs="Tahoma"/>
            <w:sz w:val="22"/>
            <w:szCs w:val="22"/>
          </w:rPr>
          <w:t>red Enterprise Europe Network</w:t>
        </w:r>
      </w:hyperlink>
      <w:r w:rsidRPr="00B460F7">
        <w:rPr>
          <w:rFonts w:ascii="Tahoma" w:hAnsi="Tahoma" w:cs="Tahoma"/>
          <w:sz w:val="22"/>
          <w:szCs w:val="22"/>
        </w:rPr>
        <w:t xml:space="preserve"> y también ofreció algunos de los datos obtenidos por el </w:t>
      </w:r>
      <w:hyperlink r:id="rId21" w:history="1">
        <w:r w:rsidRPr="00AA4E9A">
          <w:rPr>
            <w:rStyle w:val="Hipervnculo"/>
            <w:rFonts w:ascii="Tahoma" w:hAnsi="Tahoma" w:cs="Tahoma"/>
            <w:sz w:val="22"/>
            <w:szCs w:val="22"/>
          </w:rPr>
          <w:t>Observatorio Provincial de Igualdad en las Relaciones Laborales (OPI Albacete)</w:t>
        </w:r>
      </w:hyperlink>
      <w:r w:rsidRPr="00B460F7">
        <w:rPr>
          <w:rFonts w:ascii="Tahoma" w:hAnsi="Tahoma" w:cs="Tahoma"/>
          <w:sz w:val="22"/>
          <w:szCs w:val="22"/>
        </w:rPr>
        <w:t xml:space="preserve">. </w:t>
      </w:r>
    </w:p>
    <w:p w:rsidR="00B460F7" w:rsidRPr="00B460F7" w:rsidRDefault="00B460F7" w:rsidP="00B460F7">
      <w:pPr>
        <w:rPr>
          <w:rFonts w:ascii="Tahoma" w:hAnsi="Tahoma" w:cs="Tahoma"/>
          <w:sz w:val="22"/>
          <w:szCs w:val="22"/>
        </w:rPr>
      </w:pPr>
    </w:p>
    <w:p w:rsidR="00B460F7" w:rsidRPr="00B460F7" w:rsidRDefault="00B460F7" w:rsidP="00B460F7">
      <w:pPr>
        <w:rPr>
          <w:rFonts w:ascii="Tahoma" w:hAnsi="Tahoma" w:cs="Tahoma"/>
          <w:color w:val="4C5357"/>
          <w:sz w:val="22"/>
          <w:szCs w:val="22"/>
        </w:rPr>
      </w:pPr>
      <w:r w:rsidRPr="00B460F7">
        <w:rPr>
          <w:rFonts w:ascii="Tahoma" w:hAnsi="Tahoma" w:cs="Tahoma"/>
          <w:sz w:val="22"/>
          <w:szCs w:val="22"/>
        </w:rPr>
        <w:t>Esta edición del Programa INFEDA tendrá el cuarto y último seminario el próximo</w:t>
      </w:r>
      <w:r>
        <w:rPr>
          <w:rFonts w:ascii="Tahoma" w:hAnsi="Tahoma" w:cs="Tahoma"/>
          <w:sz w:val="22"/>
          <w:szCs w:val="22"/>
        </w:rPr>
        <w:t xml:space="preserve"> día 2 de julio, con el título </w:t>
      </w:r>
      <w:hyperlink r:id="rId22" w:history="1">
        <w:r w:rsidRPr="00616578">
          <w:rPr>
            <w:rStyle w:val="Hipervnculo"/>
            <w:rFonts w:ascii="Tahoma" w:hAnsi="Tahoma" w:cs="Tahoma"/>
            <w:sz w:val="22"/>
            <w:szCs w:val="22"/>
          </w:rPr>
          <w:t>“El potencial de la vigilancia estratégica en procesos de innovación e internacionalización”</w:t>
        </w:r>
      </w:hyperlink>
      <w:r w:rsidRPr="00B460F7">
        <w:rPr>
          <w:rFonts w:ascii="Tahoma" w:hAnsi="Tahoma" w:cs="Tahoma"/>
          <w:sz w:val="22"/>
          <w:szCs w:val="22"/>
        </w:rPr>
        <w:t>.</w:t>
      </w:r>
    </w:p>
    <w:p w:rsidR="00B460F7" w:rsidRPr="00B460F7" w:rsidRDefault="00B460F7" w:rsidP="00B460F7">
      <w:pPr>
        <w:rPr>
          <w:rFonts w:ascii="Tahoma" w:eastAsiaTheme="minorHAnsi" w:hAnsi="Tahoma" w:cs="Tahoma"/>
          <w:sz w:val="22"/>
          <w:szCs w:val="22"/>
          <w:lang w:eastAsia="en-US"/>
        </w:rPr>
      </w:pPr>
    </w:p>
    <w:p w:rsidR="00094F08" w:rsidRDefault="00094F08" w:rsidP="000B67D4">
      <w:pPr>
        <w:pStyle w:val="Textoindependiente"/>
        <w:tabs>
          <w:tab w:val="left" w:pos="420"/>
        </w:tabs>
        <w:jc w:val="right"/>
        <w:rPr>
          <w:rFonts w:ascii="Tahoma" w:hAnsi="Tahoma" w:cs="Tahoma"/>
          <w:b w:val="0"/>
          <w:bCs/>
          <w:sz w:val="24"/>
          <w:szCs w:val="24"/>
        </w:rPr>
      </w:pPr>
    </w:p>
    <w:sectPr w:rsidR="00094F08" w:rsidSect="000D4D85">
      <w:headerReference w:type="default" r:id="rId23"/>
      <w:footerReference w:type="even" r:id="rId24"/>
      <w:footerReference w:type="default" r:id="rId25"/>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AD4238">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AD4238"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AD4238"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AD4238"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AD4238"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AD4238"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AD4238"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FFB0FB6"/>
    <w:multiLevelType w:val="hybridMultilevel"/>
    <w:tmpl w:val="E2428B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DB4188F"/>
    <w:multiLevelType w:val="hybridMultilevel"/>
    <w:tmpl w:val="DD5247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46F4D04"/>
    <w:multiLevelType w:val="hybridMultilevel"/>
    <w:tmpl w:val="6B287E7A"/>
    <w:lvl w:ilvl="0" w:tplc="BFBC1EC6">
      <w:numFmt w:val="bullet"/>
      <w:lvlText w:val="-"/>
      <w:lvlJc w:val="left"/>
      <w:pPr>
        <w:ind w:left="720" w:hanging="360"/>
      </w:pPr>
      <w:rPr>
        <w:rFonts w:ascii="Calibri" w:eastAsia="Times New Roman"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15:restartNumberingAfterBreak="0">
    <w:nsid w:val="3D3566F1"/>
    <w:multiLevelType w:val="hybridMultilevel"/>
    <w:tmpl w:val="010225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DC322EB"/>
    <w:multiLevelType w:val="hybridMultilevel"/>
    <w:tmpl w:val="860611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DFD650B"/>
    <w:multiLevelType w:val="hybridMultilevel"/>
    <w:tmpl w:val="86C48E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2EC1777"/>
    <w:multiLevelType w:val="hybridMultilevel"/>
    <w:tmpl w:val="BC0A85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3BB1923"/>
    <w:multiLevelType w:val="hybridMultilevel"/>
    <w:tmpl w:val="7DA257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0312791"/>
    <w:multiLevelType w:val="hybridMultilevel"/>
    <w:tmpl w:val="109203FC"/>
    <w:lvl w:ilvl="0" w:tplc="0584FC34">
      <w:start w:val="91"/>
      <w:numFmt w:val="bullet"/>
      <w:lvlText w:val=""/>
      <w:lvlJc w:val="left"/>
      <w:pPr>
        <w:ind w:left="1080" w:hanging="360"/>
      </w:pPr>
      <w:rPr>
        <w:rFonts w:ascii="Symbol" w:eastAsia="Times New Roman" w:hAnsi="Symbol" w:cs="Aria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6" w15:restartNumberingAfterBreak="0">
    <w:nsid w:val="54F63547"/>
    <w:multiLevelType w:val="hybridMultilevel"/>
    <w:tmpl w:val="51B860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5535FB1"/>
    <w:multiLevelType w:val="hybridMultilevel"/>
    <w:tmpl w:val="B7C6BE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107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9" w15:restartNumberingAfterBreak="0">
    <w:nsid w:val="6B9F717A"/>
    <w:multiLevelType w:val="hybridMultilevel"/>
    <w:tmpl w:val="3022F7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2A44CF2"/>
    <w:multiLevelType w:val="multilevel"/>
    <w:tmpl w:val="25627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5534124"/>
    <w:multiLevelType w:val="multilevel"/>
    <w:tmpl w:val="669E5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773458C"/>
    <w:multiLevelType w:val="hybridMultilevel"/>
    <w:tmpl w:val="A0F8EE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8"/>
  </w:num>
  <w:num w:numId="2">
    <w:abstractNumId w:val="6"/>
  </w:num>
  <w:num w:numId="3">
    <w:abstractNumId w:val="2"/>
  </w:num>
  <w:num w:numId="4">
    <w:abstractNumId w:val="1"/>
  </w:num>
  <w:num w:numId="5">
    <w:abstractNumId w:val="0"/>
  </w:num>
  <w:num w:numId="6">
    <w:abstractNumId w:val="10"/>
  </w:num>
  <w:num w:numId="7">
    <w:abstractNumId w:val="7"/>
  </w:num>
  <w:num w:numId="8">
    <w:abstractNumId w:val="20"/>
  </w:num>
  <w:num w:numId="9">
    <w:abstractNumId w:val="21"/>
  </w:num>
  <w:num w:numId="10">
    <w:abstractNumId w:val="16"/>
  </w:num>
  <w:num w:numId="11">
    <w:abstractNumId w:val="11"/>
  </w:num>
  <w:num w:numId="12">
    <w:abstractNumId w:val="8"/>
  </w:num>
  <w:num w:numId="13">
    <w:abstractNumId w:val="22"/>
  </w:num>
  <w:num w:numId="14">
    <w:abstractNumId w:val="19"/>
  </w:num>
  <w:num w:numId="15">
    <w:abstractNumId w:val="9"/>
  </w:num>
  <w:num w:numId="16">
    <w:abstractNumId w:val="15"/>
  </w:num>
  <w:num w:numId="17">
    <w:abstractNumId w:val="12"/>
  </w:num>
  <w:num w:numId="18">
    <w:abstractNumId w:val="13"/>
  </w:num>
  <w:num w:numId="19">
    <w:abstractNumId w:val="17"/>
  </w:num>
  <w:num w:numId="20">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8396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076"/>
    <w:rsid w:val="0024417D"/>
    <w:rsid w:val="00244974"/>
    <w:rsid w:val="00244F7B"/>
    <w:rsid w:val="0024502D"/>
    <w:rsid w:val="002452DA"/>
    <w:rsid w:val="00245F7B"/>
    <w:rsid w:val="002463FE"/>
    <w:rsid w:val="00246405"/>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586"/>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0C4C"/>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FE6"/>
    <w:rsid w:val="006E6FE1"/>
    <w:rsid w:val="006E70E8"/>
    <w:rsid w:val="006E79A7"/>
    <w:rsid w:val="006F05EF"/>
    <w:rsid w:val="006F121C"/>
    <w:rsid w:val="006F12D1"/>
    <w:rsid w:val="006F1807"/>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033"/>
    <w:rsid w:val="0085516D"/>
    <w:rsid w:val="00857F35"/>
    <w:rsid w:val="00861AF4"/>
    <w:rsid w:val="00862AB3"/>
    <w:rsid w:val="008631F2"/>
    <w:rsid w:val="0086321E"/>
    <w:rsid w:val="00863F8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31CA"/>
    <w:rsid w:val="00A732E0"/>
    <w:rsid w:val="00A74642"/>
    <w:rsid w:val="00A7483B"/>
    <w:rsid w:val="00A74D00"/>
    <w:rsid w:val="00A7573C"/>
    <w:rsid w:val="00A75811"/>
    <w:rsid w:val="00A76608"/>
    <w:rsid w:val="00A76A9E"/>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4238"/>
    <w:rsid w:val="00AD5295"/>
    <w:rsid w:val="00AD55D9"/>
    <w:rsid w:val="00AD5917"/>
    <w:rsid w:val="00AD6E3F"/>
    <w:rsid w:val="00AD768A"/>
    <w:rsid w:val="00AE0205"/>
    <w:rsid w:val="00AE0D06"/>
    <w:rsid w:val="00AE0EDE"/>
    <w:rsid w:val="00AE12F7"/>
    <w:rsid w:val="00AE1687"/>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0C7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CFC"/>
    <w:rsid w:val="00DE6E8F"/>
    <w:rsid w:val="00DE6F28"/>
    <w:rsid w:val="00DE7106"/>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414F"/>
    <w:rsid w:val="00EA618B"/>
    <w:rsid w:val="00EA6400"/>
    <w:rsid w:val="00EA7134"/>
    <w:rsid w:val="00EA7774"/>
    <w:rsid w:val="00EB016D"/>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2787"/>
    <w:rsid w:val="00FE32D0"/>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83969"/>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www.caixabank.es/index_es.html" TargetMode="External"/><Relationship Id="rId18" Type="http://schemas.openxmlformats.org/officeDocument/2006/relationships/hyperlink" Target="https://www.caixabank.com/es/personas/diversidad-igualdad-oportunidades/wengage.htm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opialbacete.es/" TargetMode="External"/><Relationship Id="rId7" Type="http://schemas.openxmlformats.org/officeDocument/2006/relationships/endnotes" Target="endnotes.xml"/><Relationship Id="rId12" Type="http://schemas.openxmlformats.org/officeDocument/2006/relationships/hyperlink" Target="https://een.ec.europa.eu/" TargetMode="External"/><Relationship Id="rId17" Type="http://schemas.openxmlformats.org/officeDocument/2006/relationships/hyperlink" Target="https://eurosocial.eu/"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castillalamancha.es/gobierno/desarrollosostenible" TargetMode="External"/><Relationship Id="rId20" Type="http://schemas.openxmlformats.org/officeDocument/2006/relationships/hyperlink" Target="https://een.ec.europa.e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diex.es/e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cecam.es/" TargetMode="External"/><Relationship Id="rId23" Type="http://schemas.openxmlformats.org/officeDocument/2006/relationships/header" Target="header1.xml"/><Relationship Id="rId10" Type="http://schemas.openxmlformats.org/officeDocument/2006/relationships/hyperlink" Target="https://www.linkedin.com/in/lauracardenascomunicacion/" TargetMode="External"/><Relationship Id="rId19" Type="http://schemas.openxmlformats.org/officeDocument/2006/relationships/hyperlink" Target="https://www.feda.es/feda/nuestro-equipo/4-sede-central-albacete/38-asociaciones-y-areas-tecnicas" TargetMode="External"/><Relationship Id="rId4" Type="http://schemas.openxmlformats.org/officeDocument/2006/relationships/settings" Target="settings.xml"/><Relationship Id="rId9" Type="http://schemas.openxmlformats.org/officeDocument/2006/relationships/hyperlink" Target="https://www.feda.es/in-feda-2021/sostenibilidad-corporativa" TargetMode="External"/><Relationship Id="rId14" Type="http://schemas.openxmlformats.org/officeDocument/2006/relationships/hyperlink" Target="https://ipex.es/" TargetMode="External"/><Relationship Id="rId22" Type="http://schemas.openxmlformats.org/officeDocument/2006/relationships/hyperlink" Target="https://www.feda.es/in-feda-2021/digitalizacion" TargetMode="Externa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CB6F82-278A-4FEF-BC66-2F1E5EBD3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760</Words>
  <Characters>5094</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5843</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2</cp:revision>
  <cp:lastPrinted>2021-03-16T11:17:00Z</cp:lastPrinted>
  <dcterms:created xsi:type="dcterms:W3CDTF">2021-06-14T09:25:00Z</dcterms:created>
  <dcterms:modified xsi:type="dcterms:W3CDTF">2021-06-14T09:25:00Z</dcterms:modified>
</cp:coreProperties>
</file>