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D6E65" w14:textId="77777777" w:rsidR="00807576" w:rsidRDefault="00807576" w:rsidP="000B67D4">
      <w:pPr>
        <w:pStyle w:val="Textoindependiente"/>
        <w:tabs>
          <w:tab w:val="left" w:pos="420"/>
        </w:tabs>
        <w:jc w:val="right"/>
        <w:rPr>
          <w:rFonts w:ascii="Tahoma" w:hAnsi="Tahoma" w:cs="Tahoma"/>
          <w:b w:val="0"/>
          <w:bCs/>
          <w:sz w:val="22"/>
          <w:szCs w:val="22"/>
        </w:rPr>
      </w:pPr>
    </w:p>
    <w:p w14:paraId="4AF0ED0F" w14:textId="77777777" w:rsidR="00807576" w:rsidRDefault="00807576" w:rsidP="000B67D4">
      <w:pPr>
        <w:pStyle w:val="Textoindependiente"/>
        <w:tabs>
          <w:tab w:val="left" w:pos="420"/>
        </w:tabs>
        <w:jc w:val="right"/>
        <w:rPr>
          <w:rFonts w:ascii="Tahoma" w:hAnsi="Tahoma" w:cs="Tahoma"/>
          <w:b w:val="0"/>
          <w:bCs/>
          <w:sz w:val="22"/>
          <w:szCs w:val="22"/>
        </w:rPr>
      </w:pPr>
    </w:p>
    <w:p w14:paraId="17C34686" w14:textId="77777777" w:rsidR="006A1880" w:rsidRDefault="0082053F" w:rsidP="0082053F">
      <w:pPr>
        <w:jc w:val="right"/>
        <w:rPr>
          <w:rFonts w:ascii="Tahoma" w:hAnsi="Tahoma" w:cs="Tahoma"/>
          <w:bCs/>
          <w:sz w:val="22"/>
          <w:szCs w:val="22"/>
        </w:rPr>
      </w:pPr>
      <w:r>
        <w:rPr>
          <w:rFonts w:ascii="Tahoma" w:hAnsi="Tahoma" w:cs="Tahoma"/>
          <w:bCs/>
          <w:sz w:val="22"/>
          <w:szCs w:val="22"/>
        </w:rPr>
        <w:t xml:space="preserve">Albacete, </w:t>
      </w:r>
      <w:r w:rsidR="00ED2401">
        <w:rPr>
          <w:rFonts w:ascii="Tahoma" w:hAnsi="Tahoma" w:cs="Tahoma"/>
          <w:bCs/>
          <w:sz w:val="22"/>
          <w:szCs w:val="22"/>
        </w:rPr>
        <w:t>19</w:t>
      </w:r>
      <w:r>
        <w:rPr>
          <w:rFonts w:ascii="Tahoma" w:hAnsi="Tahoma" w:cs="Tahoma"/>
          <w:bCs/>
          <w:sz w:val="22"/>
          <w:szCs w:val="22"/>
        </w:rPr>
        <w:t xml:space="preserve"> de julio de 2021</w:t>
      </w:r>
    </w:p>
    <w:p w14:paraId="39752FA3" w14:textId="77777777" w:rsidR="006A1880" w:rsidRDefault="006A1880" w:rsidP="0082053F">
      <w:pPr>
        <w:jc w:val="right"/>
        <w:rPr>
          <w:rFonts w:ascii="Tahoma" w:hAnsi="Tahoma" w:cs="Tahoma"/>
          <w:bCs/>
          <w:sz w:val="22"/>
          <w:szCs w:val="22"/>
        </w:rPr>
      </w:pPr>
    </w:p>
    <w:p w14:paraId="5FB15974" w14:textId="77777777" w:rsidR="006A1880" w:rsidRDefault="006A1880" w:rsidP="0082053F">
      <w:pPr>
        <w:jc w:val="right"/>
        <w:rPr>
          <w:rFonts w:ascii="Tahoma" w:hAnsi="Tahoma" w:cs="Tahoma"/>
          <w:bCs/>
          <w:sz w:val="22"/>
          <w:szCs w:val="22"/>
        </w:rPr>
      </w:pPr>
    </w:p>
    <w:p w14:paraId="31C19DCB" w14:textId="77777777" w:rsidR="00BD0FD9" w:rsidRDefault="00DC3ED4" w:rsidP="006A1880">
      <w:pPr>
        <w:jc w:val="center"/>
        <w:rPr>
          <w:rFonts w:ascii="Tahoma" w:hAnsi="Tahoma" w:cs="Tahoma"/>
          <w:b/>
          <w:sz w:val="32"/>
          <w:szCs w:val="32"/>
        </w:rPr>
      </w:pPr>
      <w:r w:rsidRPr="00DC3ED4">
        <w:rPr>
          <w:rFonts w:ascii="Tahoma" w:hAnsi="Tahoma" w:cs="Tahoma"/>
          <w:b/>
          <w:sz w:val="32"/>
          <w:szCs w:val="32"/>
        </w:rPr>
        <w:t xml:space="preserve">Una jornada de FEDA con Iberdrola pone </w:t>
      </w:r>
      <w:r>
        <w:rPr>
          <w:rFonts w:ascii="Tahoma" w:hAnsi="Tahoma" w:cs="Tahoma"/>
          <w:b/>
          <w:sz w:val="32"/>
          <w:szCs w:val="32"/>
        </w:rPr>
        <w:t>el foco en</w:t>
      </w:r>
      <w:r w:rsidRPr="00DC3ED4">
        <w:rPr>
          <w:rFonts w:ascii="Tahoma" w:hAnsi="Tahoma" w:cs="Tahoma"/>
          <w:b/>
          <w:sz w:val="32"/>
          <w:szCs w:val="32"/>
        </w:rPr>
        <w:t xml:space="preserve"> el uso racional de la energía</w:t>
      </w:r>
      <w:r>
        <w:rPr>
          <w:rFonts w:ascii="Tahoma" w:hAnsi="Tahoma" w:cs="Tahoma"/>
          <w:b/>
          <w:sz w:val="32"/>
          <w:szCs w:val="32"/>
        </w:rPr>
        <w:t xml:space="preserve">, </w:t>
      </w:r>
      <w:r w:rsidRPr="00DC3ED4">
        <w:rPr>
          <w:rFonts w:ascii="Tahoma" w:hAnsi="Tahoma" w:cs="Tahoma"/>
          <w:b/>
          <w:sz w:val="32"/>
          <w:szCs w:val="32"/>
        </w:rPr>
        <w:t>la eficiencia y el respeto al medio ambiente</w:t>
      </w:r>
    </w:p>
    <w:p w14:paraId="6BCF48BD" w14:textId="77777777" w:rsidR="00DC3ED4" w:rsidRDefault="00DC3ED4" w:rsidP="006A1880">
      <w:pPr>
        <w:jc w:val="center"/>
        <w:rPr>
          <w:rFonts w:ascii="Tahoma" w:hAnsi="Tahoma" w:cs="Tahoma"/>
          <w:b/>
          <w:sz w:val="32"/>
          <w:szCs w:val="32"/>
        </w:rPr>
      </w:pPr>
    </w:p>
    <w:p w14:paraId="0A266C41" w14:textId="77777777" w:rsidR="00BD0FD9" w:rsidRPr="00DC3ED4" w:rsidRDefault="00DC3ED4" w:rsidP="00A120C5">
      <w:pPr>
        <w:pStyle w:val="Prrafodelista"/>
        <w:numPr>
          <w:ilvl w:val="0"/>
          <w:numId w:val="31"/>
        </w:numPr>
        <w:spacing w:line="240" w:lineRule="auto"/>
        <w:jc w:val="center"/>
        <w:rPr>
          <w:rFonts w:ascii="Tahoma" w:hAnsi="Tahoma" w:cs="Tahoma"/>
          <w:b/>
          <w:sz w:val="32"/>
          <w:szCs w:val="32"/>
        </w:rPr>
      </w:pPr>
      <w:r w:rsidRPr="00DC3ED4">
        <w:rPr>
          <w:rFonts w:ascii="Tahoma" w:hAnsi="Tahoma" w:cs="Tahoma"/>
          <w:b/>
        </w:rPr>
        <w:t xml:space="preserve">La Dirección General de Transición Energética informó ampliamente de la convocatoria del programa de incentivos a la movilidad eléctrica (Programa </w:t>
      </w:r>
      <w:proofErr w:type="spellStart"/>
      <w:r w:rsidRPr="00DC3ED4">
        <w:rPr>
          <w:rFonts w:ascii="Tahoma" w:hAnsi="Tahoma" w:cs="Tahoma"/>
          <w:b/>
        </w:rPr>
        <w:t>Moves</w:t>
      </w:r>
      <w:proofErr w:type="spellEnd"/>
      <w:r w:rsidRPr="00DC3ED4">
        <w:rPr>
          <w:rFonts w:ascii="Tahoma" w:hAnsi="Tahoma" w:cs="Tahoma"/>
          <w:b/>
        </w:rPr>
        <w:t xml:space="preserve"> III) para la adquisición de vehículos híbridos o eléctricos y para la implantación de puntos de recarga</w:t>
      </w:r>
    </w:p>
    <w:p w14:paraId="7F13BB2C" w14:textId="0FE9E945" w:rsidR="00DC3ED4" w:rsidRPr="00ED2401" w:rsidRDefault="00DC3ED4" w:rsidP="00A351E7">
      <w:pPr>
        <w:pStyle w:val="Prrafodelista"/>
        <w:numPr>
          <w:ilvl w:val="0"/>
          <w:numId w:val="31"/>
        </w:numPr>
        <w:spacing w:line="240" w:lineRule="auto"/>
        <w:jc w:val="center"/>
        <w:rPr>
          <w:rFonts w:ascii="Tahoma" w:hAnsi="Tahoma" w:cs="Tahoma"/>
          <w:b/>
          <w:sz w:val="32"/>
          <w:szCs w:val="32"/>
        </w:rPr>
      </w:pPr>
      <w:r w:rsidRPr="00ED2401">
        <w:rPr>
          <w:rFonts w:ascii="Tahoma" w:hAnsi="Tahoma" w:cs="Tahoma"/>
          <w:b/>
        </w:rPr>
        <w:t>Se adelantó información de l</w:t>
      </w:r>
      <w:r w:rsidR="004E6E63">
        <w:rPr>
          <w:rFonts w:ascii="Tahoma" w:hAnsi="Tahoma" w:cs="Tahoma"/>
          <w:b/>
        </w:rPr>
        <w:t>a</w:t>
      </w:r>
      <w:r w:rsidRPr="00ED2401">
        <w:rPr>
          <w:rFonts w:ascii="Tahoma" w:hAnsi="Tahoma" w:cs="Tahoma"/>
          <w:b/>
        </w:rPr>
        <w:t>s próximas ayudas que se van a convocar para instalaciones de autoconsumo, con y sin almacenamiento de energía y para instalaciones</w:t>
      </w:r>
      <w:r w:rsidR="00ED2401" w:rsidRPr="00ED2401">
        <w:rPr>
          <w:rFonts w:ascii="Tahoma" w:hAnsi="Tahoma" w:cs="Tahoma"/>
          <w:b/>
        </w:rPr>
        <w:t xml:space="preserve"> térmicas con energía renovable</w:t>
      </w:r>
    </w:p>
    <w:p w14:paraId="330084B7" w14:textId="77777777" w:rsidR="00BD0FD9" w:rsidRPr="00704E1A" w:rsidRDefault="00BD0FD9" w:rsidP="006A1880">
      <w:pPr>
        <w:jc w:val="center"/>
        <w:rPr>
          <w:sz w:val="28"/>
          <w:szCs w:val="28"/>
        </w:rPr>
      </w:pPr>
    </w:p>
    <w:p w14:paraId="35F03287" w14:textId="77777777" w:rsidR="006A1880" w:rsidRDefault="006A1880" w:rsidP="006A1880"/>
    <w:p w14:paraId="5ACF3AE9" w14:textId="5F14BA6C" w:rsidR="00BD0FD9" w:rsidRPr="00DC3ED4" w:rsidRDefault="00806FBA" w:rsidP="00BD0FD9">
      <w:pPr>
        <w:rPr>
          <w:rFonts w:ascii="Tahoma" w:hAnsi="Tahoma" w:cs="Tahoma"/>
          <w:sz w:val="22"/>
          <w:szCs w:val="22"/>
          <w:lang w:val="es-ES"/>
        </w:rPr>
      </w:pPr>
      <w:hyperlink r:id="rId8" w:history="1">
        <w:r w:rsidR="006A1880" w:rsidRPr="00A91A69">
          <w:rPr>
            <w:rStyle w:val="Hipervnculo"/>
            <w:rFonts w:ascii="Tahoma" w:hAnsi="Tahoma" w:cs="Tahoma"/>
            <w:sz w:val="22"/>
            <w:szCs w:val="22"/>
          </w:rPr>
          <w:t>FEDA</w:t>
        </w:r>
      </w:hyperlink>
      <w:r w:rsidR="006A1880" w:rsidRPr="00DC3ED4">
        <w:rPr>
          <w:rFonts w:ascii="Tahoma" w:hAnsi="Tahoma" w:cs="Tahoma"/>
          <w:sz w:val="22"/>
          <w:szCs w:val="22"/>
        </w:rPr>
        <w:t xml:space="preserve"> ha </w:t>
      </w:r>
      <w:r w:rsidR="00BD0FD9" w:rsidRPr="00DC3ED4">
        <w:rPr>
          <w:rFonts w:ascii="Tahoma" w:hAnsi="Tahoma" w:cs="Tahoma"/>
          <w:sz w:val="22"/>
          <w:szCs w:val="22"/>
        </w:rPr>
        <w:t xml:space="preserve">desarrollado </w:t>
      </w:r>
      <w:r w:rsidR="006A1880" w:rsidRPr="00DC3ED4">
        <w:rPr>
          <w:rFonts w:ascii="Tahoma" w:hAnsi="Tahoma" w:cs="Tahoma"/>
          <w:sz w:val="22"/>
          <w:szCs w:val="22"/>
        </w:rPr>
        <w:t xml:space="preserve">una jornada, con el patrocinio de </w:t>
      </w:r>
      <w:hyperlink r:id="rId9" w:history="1">
        <w:r w:rsidR="006A1880" w:rsidRPr="00A91A69">
          <w:rPr>
            <w:rStyle w:val="Hipervnculo"/>
            <w:rFonts w:ascii="Tahoma" w:hAnsi="Tahoma" w:cs="Tahoma"/>
            <w:sz w:val="22"/>
            <w:szCs w:val="22"/>
          </w:rPr>
          <w:t>I</w:t>
        </w:r>
        <w:r w:rsidR="00BD0FD9" w:rsidRPr="00A91A69">
          <w:rPr>
            <w:rStyle w:val="Hipervnculo"/>
            <w:rFonts w:ascii="Tahoma" w:hAnsi="Tahoma" w:cs="Tahoma"/>
            <w:sz w:val="22"/>
            <w:szCs w:val="22"/>
          </w:rPr>
          <w:t>berdrola</w:t>
        </w:r>
      </w:hyperlink>
      <w:r w:rsidR="006A1880" w:rsidRPr="00DC3ED4">
        <w:rPr>
          <w:rFonts w:ascii="Tahoma" w:hAnsi="Tahoma" w:cs="Tahoma"/>
          <w:sz w:val="22"/>
          <w:szCs w:val="22"/>
        </w:rPr>
        <w:t xml:space="preserve"> y la colaboración de la </w:t>
      </w:r>
      <w:hyperlink r:id="rId10" w:history="1">
        <w:r w:rsidR="006A1880" w:rsidRPr="00A91A69">
          <w:rPr>
            <w:rStyle w:val="Hipervnculo"/>
            <w:rFonts w:ascii="Tahoma" w:hAnsi="Tahoma" w:cs="Tahoma"/>
            <w:sz w:val="22"/>
            <w:szCs w:val="22"/>
          </w:rPr>
          <w:t>Dirección General de Transición Energética</w:t>
        </w:r>
        <w:r w:rsidR="00BD0FD9" w:rsidRPr="00A91A69">
          <w:rPr>
            <w:rStyle w:val="Hipervnculo"/>
            <w:rFonts w:ascii="Tahoma" w:hAnsi="Tahoma" w:cs="Tahoma"/>
            <w:sz w:val="22"/>
            <w:szCs w:val="22"/>
          </w:rPr>
          <w:t xml:space="preserve"> del Gobierno de Castilla-La Mancha</w:t>
        </w:r>
      </w:hyperlink>
      <w:r w:rsidR="006A1880" w:rsidRPr="00DC3ED4">
        <w:rPr>
          <w:rFonts w:ascii="Tahoma" w:hAnsi="Tahoma" w:cs="Tahoma"/>
          <w:sz w:val="22"/>
          <w:szCs w:val="22"/>
        </w:rPr>
        <w:t xml:space="preserve">, </w:t>
      </w:r>
      <w:r w:rsidR="00BD0FD9" w:rsidRPr="00DC3ED4">
        <w:rPr>
          <w:rFonts w:ascii="Tahoma" w:hAnsi="Tahoma" w:cs="Tahoma"/>
          <w:sz w:val="22"/>
          <w:szCs w:val="22"/>
        </w:rPr>
        <w:t xml:space="preserve">en la que se ha analizado </w:t>
      </w:r>
      <w:r w:rsidR="006A1880" w:rsidRPr="00DC3ED4">
        <w:rPr>
          <w:rFonts w:ascii="Tahoma" w:hAnsi="Tahoma" w:cs="Tahoma"/>
          <w:sz w:val="22"/>
          <w:szCs w:val="22"/>
        </w:rPr>
        <w:t>la nueva estructura de</w:t>
      </w:r>
      <w:r w:rsidR="00BD0FD9" w:rsidRPr="00DC3ED4">
        <w:rPr>
          <w:rFonts w:ascii="Tahoma" w:hAnsi="Tahoma" w:cs="Tahoma"/>
          <w:sz w:val="22"/>
          <w:szCs w:val="22"/>
        </w:rPr>
        <w:t xml:space="preserve"> las tarifas eléctricas,</w:t>
      </w:r>
      <w:r w:rsidR="006A1880" w:rsidRPr="00DC3ED4">
        <w:rPr>
          <w:rFonts w:ascii="Tahoma" w:hAnsi="Tahoma" w:cs="Tahoma"/>
          <w:sz w:val="22"/>
          <w:szCs w:val="22"/>
        </w:rPr>
        <w:t xml:space="preserve"> las ventajas de las instalaciones de autoconsumo y se </w:t>
      </w:r>
      <w:r w:rsidR="00BD0FD9" w:rsidRPr="00DC3ED4">
        <w:rPr>
          <w:rFonts w:ascii="Tahoma" w:hAnsi="Tahoma" w:cs="Tahoma"/>
          <w:sz w:val="22"/>
          <w:szCs w:val="22"/>
        </w:rPr>
        <w:t xml:space="preserve">han expuesto </w:t>
      </w:r>
      <w:r w:rsidR="006A1880" w:rsidRPr="00DC3ED4">
        <w:rPr>
          <w:rFonts w:ascii="Tahoma" w:hAnsi="Tahoma" w:cs="Tahoma"/>
          <w:sz w:val="22"/>
          <w:szCs w:val="22"/>
        </w:rPr>
        <w:t>las líneas de ayudas previstas para el fomento de la transición energética</w:t>
      </w:r>
      <w:r w:rsidR="00BD0FD9" w:rsidRPr="00DC3ED4">
        <w:rPr>
          <w:rFonts w:ascii="Tahoma" w:hAnsi="Tahoma" w:cs="Tahoma"/>
          <w:sz w:val="22"/>
          <w:szCs w:val="22"/>
        </w:rPr>
        <w:t xml:space="preserve">, así como la </w:t>
      </w:r>
      <w:r w:rsidR="00BD0FD9" w:rsidRPr="00DC3ED4">
        <w:rPr>
          <w:rFonts w:ascii="Tahoma" w:hAnsi="Tahoma" w:cs="Tahoma"/>
          <w:sz w:val="22"/>
          <w:szCs w:val="22"/>
          <w:lang w:val="es-ES"/>
        </w:rPr>
        <w:t xml:space="preserve">estructura de tarifas y los nuevos periodos de consumo que ya se aplican a todos los suministros eléctricos.  Se han presentado recomendaciones y soluciones de ahorro para que autónomos y empresas puedan optimizar su factura eléctrica y se </w:t>
      </w:r>
      <w:r w:rsidR="00EA1208">
        <w:rPr>
          <w:rFonts w:ascii="Tahoma" w:hAnsi="Tahoma" w:cs="Tahoma"/>
          <w:sz w:val="22"/>
          <w:szCs w:val="22"/>
          <w:lang w:val="es-ES"/>
        </w:rPr>
        <w:t>han expuesto</w:t>
      </w:r>
      <w:r w:rsidR="00BD0FD9" w:rsidRPr="00DC3ED4">
        <w:rPr>
          <w:rFonts w:ascii="Tahoma" w:hAnsi="Tahoma" w:cs="Tahoma"/>
          <w:sz w:val="22"/>
          <w:szCs w:val="22"/>
          <w:lang w:val="es-ES"/>
        </w:rPr>
        <w:t xml:space="preserve"> las líneas de ayudas que hay previstas para favorecer esta transición energética y contribuir a un consumo más sostenible.</w:t>
      </w:r>
    </w:p>
    <w:p w14:paraId="5B13DCA0" w14:textId="77777777" w:rsidR="00BD0FD9" w:rsidRPr="00DC3ED4" w:rsidRDefault="00BD0FD9" w:rsidP="006A1880">
      <w:pPr>
        <w:ind w:firstLine="708"/>
        <w:rPr>
          <w:rFonts w:ascii="Tahoma" w:hAnsi="Tahoma" w:cs="Tahoma"/>
          <w:sz w:val="22"/>
          <w:szCs w:val="22"/>
        </w:rPr>
      </w:pPr>
    </w:p>
    <w:p w14:paraId="2403DA1E" w14:textId="77777777" w:rsidR="00BD0FD9" w:rsidRPr="00DC3ED4" w:rsidRDefault="00BD0FD9" w:rsidP="00BD0FD9">
      <w:pPr>
        <w:rPr>
          <w:rFonts w:ascii="Tahoma" w:hAnsi="Tahoma" w:cs="Tahoma"/>
          <w:sz w:val="22"/>
          <w:szCs w:val="22"/>
          <w:lang w:val="es-ES"/>
        </w:rPr>
      </w:pPr>
      <w:r w:rsidRPr="00DC3ED4">
        <w:rPr>
          <w:rFonts w:ascii="Tahoma" w:hAnsi="Tahoma" w:cs="Tahoma"/>
          <w:sz w:val="22"/>
          <w:szCs w:val="22"/>
          <w:lang w:val="es-ES"/>
        </w:rPr>
        <w:t>El 18 de marzo se publicó en el BOE el Real Decreto 148/2021, de 9 de marzo, por el que se establece la metodología de cálculo de los cargos del sistema eléctrico, cuya metodología de cálculo empezó a surtir efectos simultáneamente con la metodología de cálculo de los peajes de transporte y distribución aprobados en la Circular 3/2020, de 15 de enero, de la Comisión Nacional de los Mercados y la Competencia, a partir del día del 1 de junio de 2021.</w:t>
      </w:r>
    </w:p>
    <w:p w14:paraId="42D36B45" w14:textId="77777777" w:rsidR="00BD0FD9" w:rsidRPr="00DC3ED4" w:rsidRDefault="00BD0FD9" w:rsidP="00BD0FD9">
      <w:pPr>
        <w:rPr>
          <w:rFonts w:ascii="Tahoma" w:hAnsi="Tahoma" w:cs="Tahoma"/>
          <w:sz w:val="22"/>
          <w:szCs w:val="22"/>
          <w:lang w:val="es-ES"/>
        </w:rPr>
      </w:pPr>
    </w:p>
    <w:p w14:paraId="43C6FCA6" w14:textId="77777777" w:rsidR="00BD0FD9" w:rsidRPr="00DC3ED4" w:rsidRDefault="00BD0FD9" w:rsidP="00BD0FD9">
      <w:pPr>
        <w:rPr>
          <w:rFonts w:ascii="Tahoma" w:hAnsi="Tahoma" w:cs="Tahoma"/>
          <w:sz w:val="22"/>
          <w:szCs w:val="22"/>
        </w:rPr>
      </w:pPr>
      <w:r w:rsidRPr="00DC3ED4">
        <w:rPr>
          <w:rFonts w:ascii="Tahoma" w:hAnsi="Tahoma" w:cs="Tahoma"/>
          <w:sz w:val="22"/>
          <w:szCs w:val="22"/>
          <w:lang w:val="es-ES"/>
        </w:rPr>
        <w:t>Esta nueva metodología de cálculo de peajes y cargos persigue estar alineada con los objetivos del Gobierno de descarbonización de la economía, transición justa, y fomento de la competitividad de la industria, y que contribuya a mantener la sostenibilidad económica y financiera del sistema eléctrico.</w:t>
      </w:r>
    </w:p>
    <w:p w14:paraId="43D74A31" w14:textId="77777777" w:rsidR="00BD0FD9" w:rsidRPr="00DC3ED4" w:rsidRDefault="00BD0FD9" w:rsidP="00BD0FD9">
      <w:pPr>
        <w:rPr>
          <w:rFonts w:ascii="Tahoma" w:hAnsi="Tahoma" w:cs="Tahoma"/>
          <w:sz w:val="22"/>
          <w:szCs w:val="22"/>
        </w:rPr>
      </w:pPr>
    </w:p>
    <w:p w14:paraId="35460421" w14:textId="75EE17FE" w:rsidR="00ED2401" w:rsidRDefault="00BD0FD9" w:rsidP="00BD0FD9">
      <w:pPr>
        <w:rPr>
          <w:rFonts w:ascii="Tahoma" w:hAnsi="Tahoma" w:cs="Tahoma"/>
          <w:sz w:val="22"/>
          <w:szCs w:val="22"/>
        </w:rPr>
      </w:pPr>
      <w:r w:rsidRPr="00DC3ED4">
        <w:rPr>
          <w:rFonts w:ascii="Tahoma" w:hAnsi="Tahoma" w:cs="Tahoma"/>
          <w:sz w:val="22"/>
          <w:szCs w:val="22"/>
        </w:rPr>
        <w:t>Tanto el d</w:t>
      </w:r>
      <w:r w:rsidR="006A1880" w:rsidRPr="00DC3ED4">
        <w:rPr>
          <w:rFonts w:ascii="Tahoma" w:hAnsi="Tahoma" w:cs="Tahoma"/>
          <w:sz w:val="22"/>
          <w:szCs w:val="22"/>
        </w:rPr>
        <w:t>elegado de Iberdrola en Castilla-La M</w:t>
      </w:r>
      <w:r w:rsidRPr="00DC3ED4">
        <w:rPr>
          <w:rFonts w:ascii="Tahoma" w:hAnsi="Tahoma" w:cs="Tahoma"/>
          <w:sz w:val="22"/>
          <w:szCs w:val="22"/>
        </w:rPr>
        <w:t>ancha, Venancio Rubio, como el director g</w:t>
      </w:r>
      <w:r w:rsidR="006A1880" w:rsidRPr="00DC3ED4">
        <w:rPr>
          <w:rFonts w:ascii="Tahoma" w:hAnsi="Tahoma" w:cs="Tahoma"/>
          <w:sz w:val="22"/>
          <w:szCs w:val="22"/>
        </w:rPr>
        <w:t xml:space="preserve">eneral de Transición Energética, Manuel Guirao, dejaron claro que estamos en una etapa de transición energética en la que se deben establecer políticas </w:t>
      </w:r>
      <w:r w:rsidR="006A1880" w:rsidRPr="00EA1208">
        <w:rPr>
          <w:rFonts w:ascii="Tahoma" w:hAnsi="Tahoma" w:cs="Tahoma"/>
          <w:sz w:val="22"/>
          <w:szCs w:val="22"/>
        </w:rPr>
        <w:t>encaminadas a la descarbonización y al desarrollo sostenible.</w:t>
      </w:r>
      <w:r w:rsidRPr="00DC3ED4">
        <w:rPr>
          <w:rFonts w:ascii="Tahoma" w:hAnsi="Tahoma" w:cs="Tahoma"/>
          <w:sz w:val="22"/>
          <w:szCs w:val="22"/>
        </w:rPr>
        <w:t xml:space="preserve"> </w:t>
      </w:r>
    </w:p>
    <w:p w14:paraId="5A194705" w14:textId="77777777" w:rsidR="00ED2401" w:rsidRDefault="00ED2401" w:rsidP="00BD0FD9">
      <w:pPr>
        <w:rPr>
          <w:rFonts w:ascii="Tahoma" w:hAnsi="Tahoma" w:cs="Tahoma"/>
          <w:sz w:val="22"/>
          <w:szCs w:val="22"/>
        </w:rPr>
      </w:pPr>
    </w:p>
    <w:p w14:paraId="16C66D46" w14:textId="77777777" w:rsidR="00ED2401" w:rsidRDefault="00ED2401" w:rsidP="00BD0FD9">
      <w:pPr>
        <w:rPr>
          <w:rFonts w:ascii="Tahoma" w:hAnsi="Tahoma" w:cs="Tahoma"/>
          <w:sz w:val="22"/>
          <w:szCs w:val="22"/>
        </w:rPr>
      </w:pPr>
    </w:p>
    <w:p w14:paraId="555AE3D4" w14:textId="77777777" w:rsidR="00ED2401" w:rsidRDefault="00ED2401" w:rsidP="00BD0FD9">
      <w:pPr>
        <w:rPr>
          <w:rFonts w:ascii="Tahoma" w:hAnsi="Tahoma" w:cs="Tahoma"/>
          <w:sz w:val="22"/>
          <w:szCs w:val="22"/>
        </w:rPr>
      </w:pPr>
    </w:p>
    <w:p w14:paraId="1AE32E35" w14:textId="77777777" w:rsidR="00ED2401" w:rsidRDefault="00ED2401" w:rsidP="00BD0FD9">
      <w:pPr>
        <w:rPr>
          <w:rFonts w:ascii="Tahoma" w:hAnsi="Tahoma" w:cs="Tahoma"/>
          <w:sz w:val="22"/>
          <w:szCs w:val="22"/>
        </w:rPr>
      </w:pPr>
    </w:p>
    <w:p w14:paraId="18707A34" w14:textId="77777777" w:rsidR="006A1880" w:rsidRPr="00DC3ED4" w:rsidRDefault="00BD0FD9" w:rsidP="00BD0FD9">
      <w:pPr>
        <w:rPr>
          <w:rFonts w:ascii="Tahoma" w:hAnsi="Tahoma" w:cs="Tahoma"/>
          <w:sz w:val="22"/>
          <w:szCs w:val="22"/>
        </w:rPr>
      </w:pPr>
      <w:r w:rsidRPr="00DC3ED4">
        <w:rPr>
          <w:rFonts w:ascii="Tahoma" w:hAnsi="Tahoma" w:cs="Tahoma"/>
          <w:sz w:val="22"/>
          <w:szCs w:val="22"/>
        </w:rPr>
        <w:t>El d</w:t>
      </w:r>
      <w:r w:rsidR="006A1880" w:rsidRPr="00DC3ED4">
        <w:rPr>
          <w:rFonts w:ascii="Tahoma" w:hAnsi="Tahoma" w:cs="Tahoma"/>
          <w:sz w:val="22"/>
          <w:szCs w:val="22"/>
        </w:rPr>
        <w:t xml:space="preserve">irector </w:t>
      </w:r>
      <w:r w:rsidRPr="00DC3ED4">
        <w:rPr>
          <w:rFonts w:ascii="Tahoma" w:hAnsi="Tahoma" w:cs="Tahoma"/>
          <w:sz w:val="22"/>
          <w:szCs w:val="22"/>
        </w:rPr>
        <w:t>g</w:t>
      </w:r>
      <w:r w:rsidR="006A1880" w:rsidRPr="00DC3ED4">
        <w:rPr>
          <w:rFonts w:ascii="Tahoma" w:hAnsi="Tahoma" w:cs="Tahoma"/>
          <w:sz w:val="22"/>
          <w:szCs w:val="22"/>
        </w:rPr>
        <w:t xml:space="preserve">eneral llegó a calificar la situación como de “emergencia climática” y es muy importante que </w:t>
      </w:r>
      <w:r w:rsidRPr="00DC3ED4">
        <w:rPr>
          <w:rFonts w:ascii="Tahoma" w:hAnsi="Tahoma" w:cs="Tahoma"/>
          <w:sz w:val="22"/>
          <w:szCs w:val="22"/>
        </w:rPr>
        <w:t>“</w:t>
      </w:r>
      <w:r w:rsidR="006A1880" w:rsidRPr="00DC3ED4">
        <w:rPr>
          <w:rFonts w:ascii="Tahoma" w:hAnsi="Tahoma" w:cs="Tahoma"/>
          <w:sz w:val="22"/>
          <w:szCs w:val="22"/>
        </w:rPr>
        <w:t>todos nos concienciemos</w:t>
      </w:r>
      <w:r w:rsidRPr="00DC3ED4">
        <w:rPr>
          <w:rFonts w:ascii="Tahoma" w:hAnsi="Tahoma" w:cs="Tahoma"/>
          <w:sz w:val="22"/>
          <w:szCs w:val="22"/>
        </w:rPr>
        <w:t xml:space="preserve"> –dijo-</w:t>
      </w:r>
      <w:r w:rsidR="006A1880" w:rsidRPr="00DC3ED4">
        <w:rPr>
          <w:rFonts w:ascii="Tahoma" w:hAnsi="Tahoma" w:cs="Tahoma"/>
          <w:sz w:val="22"/>
          <w:szCs w:val="22"/>
        </w:rPr>
        <w:t xml:space="preserve"> de la necesidad de orientarnos hac</w:t>
      </w:r>
      <w:r w:rsidRPr="00DC3ED4">
        <w:rPr>
          <w:rFonts w:ascii="Tahoma" w:hAnsi="Tahoma" w:cs="Tahoma"/>
          <w:sz w:val="22"/>
          <w:szCs w:val="22"/>
        </w:rPr>
        <w:t>ia esa transición energética se deba</w:t>
      </w:r>
      <w:r w:rsidR="006A1880" w:rsidRPr="00DC3ED4">
        <w:rPr>
          <w:rFonts w:ascii="Tahoma" w:hAnsi="Tahoma" w:cs="Tahoma"/>
          <w:sz w:val="22"/>
          <w:szCs w:val="22"/>
        </w:rPr>
        <w:t xml:space="preserve"> basar en dos pilares fundamentales: el ahorro energético (mediante el uso de instalaciones y/o edificios más eficientes,</w:t>
      </w:r>
      <w:r w:rsidRPr="00DC3ED4">
        <w:rPr>
          <w:rFonts w:ascii="Tahoma" w:hAnsi="Tahoma" w:cs="Tahoma"/>
          <w:sz w:val="22"/>
          <w:szCs w:val="22"/>
        </w:rPr>
        <w:t xml:space="preserve"> hábitos de consumo sostenibles…</w:t>
      </w:r>
      <w:r w:rsidR="006A1880" w:rsidRPr="00DC3ED4">
        <w:rPr>
          <w:rFonts w:ascii="Tahoma" w:hAnsi="Tahoma" w:cs="Tahoma"/>
          <w:sz w:val="22"/>
          <w:szCs w:val="22"/>
        </w:rPr>
        <w:t>) y el uso de energías renovables (solar, eólica, aerotermia…</w:t>
      </w:r>
      <w:r w:rsidRPr="00DC3ED4">
        <w:rPr>
          <w:rFonts w:ascii="Tahoma" w:hAnsi="Tahoma" w:cs="Tahoma"/>
          <w:sz w:val="22"/>
          <w:szCs w:val="22"/>
        </w:rPr>
        <w:t>)”.</w:t>
      </w:r>
    </w:p>
    <w:p w14:paraId="2E0CD34A" w14:textId="77777777" w:rsidR="00DC3ED4" w:rsidRDefault="00DC3ED4" w:rsidP="00DC3ED4">
      <w:pPr>
        <w:pStyle w:val="xmsonormal"/>
        <w:spacing w:before="0" w:beforeAutospacing="0" w:after="0" w:afterAutospacing="0"/>
        <w:jc w:val="both"/>
        <w:rPr>
          <w:rFonts w:ascii="Tahoma" w:hAnsi="Tahoma" w:cs="Tahoma"/>
          <w:sz w:val="22"/>
          <w:szCs w:val="22"/>
        </w:rPr>
      </w:pPr>
    </w:p>
    <w:p w14:paraId="3D1292C7" w14:textId="77777777" w:rsidR="00BD0FD9" w:rsidRDefault="00DC3ED4" w:rsidP="00DC3ED4">
      <w:pPr>
        <w:pStyle w:val="xmsonormal"/>
        <w:jc w:val="both"/>
        <w:rPr>
          <w:rFonts w:ascii="Tahoma" w:hAnsi="Tahoma" w:cs="Tahoma"/>
          <w:sz w:val="22"/>
          <w:szCs w:val="22"/>
        </w:rPr>
      </w:pPr>
      <w:r>
        <w:rPr>
          <w:rFonts w:ascii="Tahoma" w:hAnsi="Tahoma" w:cs="Tahoma"/>
          <w:sz w:val="22"/>
          <w:szCs w:val="22"/>
        </w:rPr>
        <w:t xml:space="preserve">Venancio Rubio </w:t>
      </w:r>
      <w:r w:rsidR="00BD0FD9" w:rsidRPr="00DC3ED4">
        <w:rPr>
          <w:rFonts w:ascii="Tahoma" w:hAnsi="Tahoma" w:cs="Tahoma"/>
          <w:sz w:val="22"/>
          <w:szCs w:val="22"/>
        </w:rPr>
        <w:t xml:space="preserve">apuntó que “la progresiva electrificación de los usos de la energía y la aplicación de nuevas herramientas </w:t>
      </w:r>
      <w:r w:rsidR="00BD0FD9" w:rsidRPr="00DC3ED4">
        <w:rPr>
          <w:rFonts w:ascii="Tahoma" w:hAnsi="Tahoma" w:cs="Tahoma"/>
          <w:color w:val="000000"/>
          <w:sz w:val="22"/>
          <w:szCs w:val="22"/>
        </w:rPr>
        <w:t>ofrecen</w:t>
      </w:r>
      <w:r w:rsidR="00BD0FD9" w:rsidRPr="00DC3ED4">
        <w:rPr>
          <w:rFonts w:ascii="Tahoma" w:hAnsi="Tahoma" w:cs="Tahoma"/>
          <w:sz w:val="22"/>
          <w:szCs w:val="22"/>
        </w:rPr>
        <w:t xml:space="preserve"> soluciones inteligentes e innovadoras, tanto en el ámbito residencial como industrial. Gracias a la digitalización y la inversión en I+D+i, Iberdrola cuentan una amplia gama de productos y servicios que favorecen la eficiencia, el ahorro energético y el cuidado del medio ambiente, al tiempo que sitúan al cliente en el centro dotándolo de mayor conectividad y capacidad de decisión. Con el autoconsumo </w:t>
      </w:r>
      <w:r w:rsidR="00BD0FD9" w:rsidRPr="00DC3ED4">
        <w:rPr>
          <w:rFonts w:ascii="Tahoma" w:hAnsi="Tahoma" w:cs="Tahoma"/>
          <w:color w:val="000000"/>
          <w:sz w:val="22"/>
          <w:szCs w:val="22"/>
        </w:rPr>
        <w:t>y</w:t>
      </w:r>
      <w:r w:rsidR="00BD0FD9" w:rsidRPr="00DC3ED4">
        <w:rPr>
          <w:rFonts w:ascii="Tahoma" w:hAnsi="Tahoma" w:cs="Tahoma"/>
          <w:sz w:val="22"/>
          <w:szCs w:val="22"/>
        </w:rPr>
        <w:t xml:space="preserve"> las soluciones </w:t>
      </w:r>
      <w:proofErr w:type="spellStart"/>
      <w:r w:rsidR="00BD0FD9" w:rsidRPr="00DC3ED4">
        <w:rPr>
          <w:rFonts w:ascii="Tahoma" w:hAnsi="Tahoma" w:cs="Tahoma"/>
          <w:sz w:val="22"/>
          <w:szCs w:val="22"/>
        </w:rPr>
        <w:t>smart</w:t>
      </w:r>
      <w:proofErr w:type="spellEnd"/>
      <w:r w:rsidR="00BD0FD9" w:rsidRPr="00DC3ED4">
        <w:rPr>
          <w:rFonts w:ascii="Tahoma" w:hAnsi="Tahoma" w:cs="Tahoma"/>
          <w:sz w:val="22"/>
          <w:szCs w:val="22"/>
        </w:rPr>
        <w:t xml:space="preserve"> se pueden obtener </w:t>
      </w:r>
      <w:r w:rsidR="00BD0FD9" w:rsidRPr="00DC3ED4">
        <w:rPr>
          <w:rFonts w:ascii="Tahoma" w:hAnsi="Tahoma" w:cs="Tahoma"/>
          <w:color w:val="000000"/>
          <w:sz w:val="22"/>
          <w:szCs w:val="22"/>
        </w:rPr>
        <w:t xml:space="preserve">importantes </w:t>
      </w:r>
      <w:r w:rsidR="00BD0FD9" w:rsidRPr="00DC3ED4">
        <w:rPr>
          <w:rFonts w:ascii="Tahoma" w:hAnsi="Tahoma" w:cs="Tahoma"/>
          <w:sz w:val="22"/>
          <w:szCs w:val="22"/>
        </w:rPr>
        <w:t>ahorros en la factura de la luz”</w:t>
      </w:r>
      <w:r w:rsidRPr="00DC3ED4">
        <w:rPr>
          <w:rFonts w:ascii="Tahoma" w:hAnsi="Tahoma" w:cs="Tahoma"/>
          <w:sz w:val="22"/>
          <w:szCs w:val="22"/>
        </w:rPr>
        <w:t>.</w:t>
      </w:r>
    </w:p>
    <w:p w14:paraId="0C95AE6B" w14:textId="77777777" w:rsidR="00ED2401" w:rsidRPr="00ED2401" w:rsidRDefault="00ED2401" w:rsidP="00DC3ED4">
      <w:pPr>
        <w:pStyle w:val="xmsonormal"/>
        <w:jc w:val="both"/>
        <w:rPr>
          <w:rFonts w:ascii="Tahoma" w:hAnsi="Tahoma" w:cs="Tahoma"/>
          <w:b/>
          <w:sz w:val="22"/>
          <w:szCs w:val="22"/>
        </w:rPr>
      </w:pPr>
      <w:r>
        <w:rPr>
          <w:rFonts w:ascii="Tahoma" w:hAnsi="Tahoma" w:cs="Tahoma"/>
          <w:b/>
          <w:sz w:val="22"/>
          <w:szCs w:val="22"/>
        </w:rPr>
        <w:t>Instalaciones de autoconsumo</w:t>
      </w:r>
    </w:p>
    <w:p w14:paraId="6550F558" w14:textId="77777777" w:rsidR="00BD0FD9" w:rsidRPr="00DC3ED4" w:rsidRDefault="00BD0FD9" w:rsidP="00BD0FD9">
      <w:pPr>
        <w:rPr>
          <w:rFonts w:ascii="Tahoma" w:hAnsi="Tahoma" w:cs="Tahoma"/>
          <w:sz w:val="22"/>
          <w:szCs w:val="22"/>
        </w:rPr>
      </w:pPr>
    </w:p>
    <w:p w14:paraId="6DE10CD4" w14:textId="77777777" w:rsidR="006A1880" w:rsidRPr="00DC3ED4" w:rsidRDefault="006A1880" w:rsidP="00BD0FD9">
      <w:pPr>
        <w:rPr>
          <w:rFonts w:ascii="Tahoma" w:hAnsi="Tahoma" w:cs="Tahoma"/>
          <w:sz w:val="22"/>
          <w:szCs w:val="22"/>
        </w:rPr>
      </w:pPr>
      <w:r w:rsidRPr="00DC3ED4">
        <w:rPr>
          <w:rFonts w:ascii="Tahoma" w:hAnsi="Tahoma" w:cs="Tahoma"/>
          <w:sz w:val="22"/>
          <w:szCs w:val="22"/>
        </w:rPr>
        <w:t xml:space="preserve">La primera ponencia </w:t>
      </w:r>
      <w:r w:rsidR="00DC3ED4">
        <w:rPr>
          <w:rFonts w:ascii="Tahoma" w:hAnsi="Tahoma" w:cs="Tahoma"/>
          <w:sz w:val="22"/>
          <w:szCs w:val="22"/>
        </w:rPr>
        <w:t>la desarrolló Carmen González, g</w:t>
      </w:r>
      <w:r w:rsidRPr="00DC3ED4">
        <w:rPr>
          <w:rFonts w:ascii="Tahoma" w:hAnsi="Tahoma" w:cs="Tahoma"/>
          <w:sz w:val="22"/>
          <w:szCs w:val="22"/>
        </w:rPr>
        <w:t>estor de Canales Madrid Castilla-La Mancha de Iberdrola, en la que justificó que estos cambios tarifarios vienen motivados por la aplicación de varias normativas europeas y nacionales que persiguen un uso más racional de la energía en el que se consuma en los periodos en los que las instalaci</w:t>
      </w:r>
      <w:r w:rsidR="00DC3ED4">
        <w:rPr>
          <w:rFonts w:ascii="Tahoma" w:hAnsi="Tahoma" w:cs="Tahoma"/>
          <w:sz w:val="22"/>
          <w:szCs w:val="22"/>
        </w:rPr>
        <w:t>ones de generación son má</w:t>
      </w:r>
      <w:r w:rsidRPr="00DC3ED4">
        <w:rPr>
          <w:rFonts w:ascii="Tahoma" w:hAnsi="Tahoma" w:cs="Tahoma"/>
          <w:sz w:val="22"/>
          <w:szCs w:val="22"/>
        </w:rPr>
        <w:t xml:space="preserve">s eficientes y respetuosas con el medio ambiente. </w:t>
      </w:r>
    </w:p>
    <w:p w14:paraId="6DB61560" w14:textId="77777777" w:rsidR="00BD0FD9" w:rsidRPr="00DC3ED4" w:rsidRDefault="00BD0FD9" w:rsidP="00BD0FD9">
      <w:pPr>
        <w:rPr>
          <w:rFonts w:ascii="Tahoma" w:hAnsi="Tahoma" w:cs="Tahoma"/>
          <w:sz w:val="22"/>
          <w:szCs w:val="22"/>
        </w:rPr>
      </w:pPr>
    </w:p>
    <w:p w14:paraId="7D5F0785" w14:textId="77777777" w:rsidR="006A1880" w:rsidRPr="00DC3ED4" w:rsidRDefault="006A1880" w:rsidP="00BD0FD9">
      <w:pPr>
        <w:rPr>
          <w:rFonts w:ascii="Tahoma" w:hAnsi="Tahoma" w:cs="Tahoma"/>
          <w:sz w:val="22"/>
          <w:szCs w:val="22"/>
        </w:rPr>
      </w:pPr>
      <w:r w:rsidRPr="00DC3ED4">
        <w:rPr>
          <w:rFonts w:ascii="Tahoma" w:hAnsi="Tahoma" w:cs="Tahoma"/>
          <w:sz w:val="22"/>
          <w:szCs w:val="22"/>
        </w:rPr>
        <w:t>Posteriormente, Delia Rebollo, jefa de productos Smart Solar Pymes de Iberdrola, presentó a las instalaciones fotovoltaicas de autoconsumo como una solución para el ahorro energético y para la reducción de la factura de electricidad. La tecnología solar fotovoltaica ha avanzado mucho estos años y ha incrementado considerablemente sus rendimientos, por lo que las instalaciones de autoconsumo tienen unos periodos de retorno de la inversión muy asequibles para las pymes. Se mostraron varios modelos de negocio con esta tecnología en la que destacan los “proyectos llave en mano” y las comunidades solares, en las que se puede compartir la energía generada en una instalación con consumidores que estén a menos de 500 metros.</w:t>
      </w:r>
    </w:p>
    <w:p w14:paraId="41B07F10" w14:textId="77777777" w:rsidR="00BD0FD9" w:rsidRPr="00DC3ED4" w:rsidRDefault="00BD0FD9" w:rsidP="00BD0FD9">
      <w:pPr>
        <w:rPr>
          <w:rFonts w:ascii="Tahoma" w:hAnsi="Tahoma" w:cs="Tahoma"/>
          <w:sz w:val="22"/>
          <w:szCs w:val="22"/>
        </w:rPr>
      </w:pPr>
    </w:p>
    <w:p w14:paraId="2B076B7F" w14:textId="161FEB6E" w:rsidR="006A1880" w:rsidRPr="00DC3ED4" w:rsidRDefault="006A1880" w:rsidP="00BD0FD9">
      <w:pPr>
        <w:rPr>
          <w:rFonts w:ascii="Tahoma" w:hAnsi="Tahoma" w:cs="Tahoma"/>
          <w:sz w:val="22"/>
          <w:szCs w:val="22"/>
        </w:rPr>
      </w:pPr>
      <w:r w:rsidRPr="00DC3ED4">
        <w:rPr>
          <w:rFonts w:ascii="Tahoma" w:hAnsi="Tahoma" w:cs="Tahoma"/>
          <w:sz w:val="22"/>
          <w:szCs w:val="22"/>
        </w:rPr>
        <w:t xml:space="preserve">Por último, la jefa de servicio de programas de la Dirección General de Transición Energética, Esther </w:t>
      </w:r>
      <w:proofErr w:type="spellStart"/>
      <w:r w:rsidRPr="00DC3ED4">
        <w:rPr>
          <w:rFonts w:ascii="Tahoma" w:hAnsi="Tahoma" w:cs="Tahoma"/>
          <w:sz w:val="22"/>
          <w:szCs w:val="22"/>
        </w:rPr>
        <w:t>Villapalos</w:t>
      </w:r>
      <w:proofErr w:type="spellEnd"/>
      <w:r w:rsidRPr="00DC3ED4">
        <w:rPr>
          <w:rFonts w:ascii="Tahoma" w:hAnsi="Tahoma" w:cs="Tahoma"/>
          <w:sz w:val="22"/>
          <w:szCs w:val="22"/>
        </w:rPr>
        <w:t>, informó de las distintas líneas</w:t>
      </w:r>
      <w:r w:rsidR="00DC3ED4">
        <w:rPr>
          <w:rFonts w:ascii="Tahoma" w:hAnsi="Tahoma" w:cs="Tahoma"/>
          <w:sz w:val="22"/>
          <w:szCs w:val="22"/>
        </w:rPr>
        <w:t xml:space="preserve"> de ayudas que ha convocado </w:t>
      </w:r>
      <w:r w:rsidRPr="00DC3ED4">
        <w:rPr>
          <w:rFonts w:ascii="Tahoma" w:hAnsi="Tahoma" w:cs="Tahoma"/>
          <w:sz w:val="22"/>
          <w:szCs w:val="22"/>
        </w:rPr>
        <w:t>la Junta de Comunidades de Castilla-La Mancha para fomentar el ahorro y la eficiencia energética en instalaciones de alumbra</w:t>
      </w:r>
      <w:r w:rsidR="00DC3ED4">
        <w:rPr>
          <w:rFonts w:ascii="Tahoma" w:hAnsi="Tahoma" w:cs="Tahoma"/>
          <w:sz w:val="22"/>
          <w:szCs w:val="22"/>
        </w:rPr>
        <w:t>do público, en edificios de la A</w:t>
      </w:r>
      <w:r w:rsidRPr="00DC3ED4">
        <w:rPr>
          <w:rFonts w:ascii="Tahoma" w:hAnsi="Tahoma" w:cs="Tahoma"/>
          <w:sz w:val="22"/>
          <w:szCs w:val="22"/>
        </w:rPr>
        <w:t>dministración pública y en pymes del sector industrial. Se informó ampliamente de la convocatoria, publicada el mismo día de la jornada,  para el programa de incentivos a la movilidad eléctrica (</w:t>
      </w:r>
      <w:hyperlink r:id="rId11" w:history="1">
        <w:r w:rsidRPr="00A91A69">
          <w:rPr>
            <w:rStyle w:val="Hipervnculo"/>
            <w:rFonts w:ascii="Tahoma" w:hAnsi="Tahoma" w:cs="Tahoma"/>
            <w:sz w:val="22"/>
            <w:szCs w:val="22"/>
          </w:rPr>
          <w:t xml:space="preserve">Programa </w:t>
        </w:r>
        <w:proofErr w:type="spellStart"/>
        <w:r w:rsidRPr="00A91A69">
          <w:rPr>
            <w:rStyle w:val="Hipervnculo"/>
            <w:rFonts w:ascii="Tahoma" w:hAnsi="Tahoma" w:cs="Tahoma"/>
            <w:sz w:val="22"/>
            <w:szCs w:val="22"/>
          </w:rPr>
          <w:t>Moves</w:t>
        </w:r>
        <w:proofErr w:type="spellEnd"/>
        <w:r w:rsidRPr="00A91A69">
          <w:rPr>
            <w:rStyle w:val="Hipervnculo"/>
            <w:rFonts w:ascii="Tahoma" w:hAnsi="Tahoma" w:cs="Tahoma"/>
            <w:sz w:val="22"/>
            <w:szCs w:val="22"/>
          </w:rPr>
          <w:t xml:space="preserve"> III</w:t>
        </w:r>
      </w:hyperlink>
      <w:r w:rsidRPr="00DC3ED4">
        <w:rPr>
          <w:rFonts w:ascii="Tahoma" w:hAnsi="Tahoma" w:cs="Tahoma"/>
          <w:sz w:val="22"/>
          <w:szCs w:val="22"/>
        </w:rPr>
        <w:t xml:space="preserve">) para la adquisición de vehículos híbridos o eléctricos y para la implantación de puntos de recarga. Asimismo, se adelantó información de </w:t>
      </w:r>
      <w:r w:rsidR="00806FBA" w:rsidRPr="00DC3ED4">
        <w:rPr>
          <w:rFonts w:ascii="Tahoma" w:hAnsi="Tahoma" w:cs="Tahoma"/>
          <w:sz w:val="22"/>
          <w:szCs w:val="22"/>
        </w:rPr>
        <w:t>las próximas ayudas</w:t>
      </w:r>
      <w:r w:rsidRPr="00DC3ED4">
        <w:rPr>
          <w:rFonts w:ascii="Tahoma" w:hAnsi="Tahoma" w:cs="Tahoma"/>
          <w:sz w:val="22"/>
          <w:szCs w:val="22"/>
        </w:rPr>
        <w:t xml:space="preserve"> que se van a convocar para instalaciones de autoconsumo, con y sin almacenamient</w:t>
      </w:r>
      <w:r w:rsidR="00DC3ED4">
        <w:rPr>
          <w:rFonts w:ascii="Tahoma" w:hAnsi="Tahoma" w:cs="Tahoma"/>
          <w:sz w:val="22"/>
          <w:szCs w:val="22"/>
        </w:rPr>
        <w:t>o de energía y para instalacion</w:t>
      </w:r>
      <w:r w:rsidRPr="00DC3ED4">
        <w:rPr>
          <w:rFonts w:ascii="Tahoma" w:hAnsi="Tahoma" w:cs="Tahoma"/>
          <w:sz w:val="22"/>
          <w:szCs w:val="22"/>
        </w:rPr>
        <w:t>es térmicas con energía renovable.</w:t>
      </w:r>
    </w:p>
    <w:p w14:paraId="56B3A314" w14:textId="77777777" w:rsidR="006A1880" w:rsidRPr="00DC3ED4" w:rsidRDefault="006A1880" w:rsidP="006A1880">
      <w:pPr>
        <w:ind w:firstLine="708"/>
        <w:rPr>
          <w:rFonts w:ascii="Tahoma" w:hAnsi="Tahoma" w:cs="Tahoma"/>
          <w:sz w:val="22"/>
          <w:szCs w:val="22"/>
        </w:rPr>
      </w:pPr>
    </w:p>
    <w:p w14:paraId="44841C18" w14:textId="77777777" w:rsidR="006A1880" w:rsidRDefault="006A1880" w:rsidP="0082053F">
      <w:pPr>
        <w:jc w:val="right"/>
        <w:rPr>
          <w:rFonts w:ascii="Tahoma" w:hAnsi="Tahoma" w:cs="Tahoma"/>
          <w:bCs/>
          <w:sz w:val="22"/>
          <w:szCs w:val="22"/>
        </w:rPr>
      </w:pPr>
    </w:p>
    <w:p w14:paraId="1B3698CA" w14:textId="77777777" w:rsidR="006A1880" w:rsidRDefault="006A1880" w:rsidP="0082053F">
      <w:pPr>
        <w:jc w:val="right"/>
        <w:rPr>
          <w:rFonts w:ascii="Tahoma" w:hAnsi="Tahoma" w:cs="Tahoma"/>
          <w:bCs/>
          <w:sz w:val="22"/>
          <w:szCs w:val="22"/>
        </w:rPr>
      </w:pPr>
    </w:p>
    <w:p w14:paraId="18904F95" w14:textId="77777777" w:rsidR="006A1880" w:rsidRDefault="006A1880" w:rsidP="0082053F">
      <w:pPr>
        <w:jc w:val="right"/>
        <w:rPr>
          <w:rFonts w:ascii="Tahoma" w:hAnsi="Tahoma" w:cs="Tahoma"/>
          <w:bCs/>
          <w:sz w:val="22"/>
          <w:szCs w:val="22"/>
        </w:rPr>
      </w:pPr>
    </w:p>
    <w:sectPr w:rsidR="006A1880"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33213" w14:textId="77777777" w:rsidR="00CA619B" w:rsidRDefault="00CA619B">
      <w:r>
        <w:separator/>
      </w:r>
    </w:p>
  </w:endnote>
  <w:endnote w:type="continuationSeparator" w:id="0">
    <w:p w14:paraId="47E5ED50"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322A"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41432E34"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211A9"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91A69">
      <w:rPr>
        <w:rStyle w:val="Nmerodepgina"/>
        <w:noProof/>
        <w:sz w:val="11"/>
        <w:szCs w:val="11"/>
      </w:rPr>
      <w:t>1</w:t>
    </w:r>
    <w:r>
      <w:rPr>
        <w:rStyle w:val="Nmerodepgina"/>
        <w:sz w:val="11"/>
        <w:szCs w:val="11"/>
      </w:rPr>
      <w:fldChar w:fldCharType="end"/>
    </w:r>
  </w:p>
  <w:p w14:paraId="0F0C4FE6"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55502CB" wp14:editId="2958E0F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1BA440F" wp14:editId="71D1CA5D">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63730A"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7C4123D7"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A440F"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4263730A"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7C4123D7"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84D469A" wp14:editId="679A3C50">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2308B603" wp14:editId="203B489D">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7397FE08" w14:textId="77777777" w:rsidR="00A90926" w:rsidRPr="009B267A" w:rsidRDefault="00806FBA"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28F95EF6"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08B603"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7397FE08" w14:textId="77777777" w:rsidR="00A90926" w:rsidRPr="009B267A" w:rsidRDefault="00806FBA"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28F95EF6" w14:textId="77777777" w:rsidR="00A90926" w:rsidRPr="00C00842" w:rsidRDefault="00A90926">
                    <w:pPr>
                      <w:rPr>
                        <w:sz w:val="18"/>
                        <w:szCs w:val="18"/>
                      </w:rPr>
                    </w:pPr>
                  </w:p>
                </w:txbxContent>
              </v:textbox>
            </v:shape>
          </w:pict>
        </mc:Fallback>
      </mc:AlternateContent>
    </w:r>
  </w:p>
  <w:p w14:paraId="6661D350"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1D5D795E" wp14:editId="2605C5D2">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682C562" wp14:editId="21DB0E0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BB50830" wp14:editId="1B0812C0">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209B3C2" w14:textId="77777777" w:rsidR="00A90926" w:rsidRPr="00C00842" w:rsidRDefault="00806FB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B50830"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4209B3C2" w14:textId="77777777" w:rsidR="00A90926" w:rsidRPr="00C00842" w:rsidRDefault="00806FB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1FC4063A" wp14:editId="3E2F9492">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428D8E30" w14:textId="77777777" w:rsidR="00A90926" w:rsidRPr="00C00842" w:rsidRDefault="00806FB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C4063A"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428D8E30" w14:textId="77777777" w:rsidR="00A90926" w:rsidRPr="00C00842" w:rsidRDefault="00806FBA"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9C491" w14:textId="77777777" w:rsidR="00CA619B" w:rsidRDefault="00CA619B">
      <w:r>
        <w:separator/>
      </w:r>
    </w:p>
  </w:footnote>
  <w:footnote w:type="continuationSeparator" w:id="0">
    <w:p w14:paraId="54B6831B"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F383F"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548404C3" wp14:editId="67B77D76">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1FD8B80"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6DD7356"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89E68CF"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146AFE"/>
    <w:multiLevelType w:val="hybridMultilevel"/>
    <w:tmpl w:val="9F3EBC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24"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5"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9"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28"/>
  </w:num>
  <w:num w:numId="2">
    <w:abstractNumId w:val="6"/>
  </w:num>
  <w:num w:numId="3">
    <w:abstractNumId w:val="2"/>
  </w:num>
  <w:num w:numId="4">
    <w:abstractNumId w:val="1"/>
  </w:num>
  <w:num w:numId="5">
    <w:abstractNumId w:val="0"/>
  </w:num>
  <w:num w:numId="6">
    <w:abstractNumId w:val="14"/>
  </w:num>
  <w:num w:numId="7">
    <w:abstractNumId w:val="9"/>
  </w:num>
  <w:num w:numId="8">
    <w:abstractNumId w:val="30"/>
  </w:num>
  <w:num w:numId="9">
    <w:abstractNumId w:val="31"/>
  </w:num>
  <w:num w:numId="10">
    <w:abstractNumId w:val="26"/>
  </w:num>
  <w:num w:numId="11">
    <w:abstractNumId w:val="15"/>
  </w:num>
  <w:num w:numId="12">
    <w:abstractNumId w:val="11"/>
  </w:num>
  <w:num w:numId="13">
    <w:abstractNumId w:val="32"/>
  </w:num>
  <w:num w:numId="14">
    <w:abstractNumId w:val="29"/>
  </w:num>
  <w:num w:numId="15">
    <w:abstractNumId w:val="12"/>
  </w:num>
  <w:num w:numId="16">
    <w:abstractNumId w:val="24"/>
  </w:num>
  <w:num w:numId="17">
    <w:abstractNumId w:val="16"/>
  </w:num>
  <w:num w:numId="18">
    <w:abstractNumId w:val="20"/>
  </w:num>
  <w:num w:numId="19">
    <w:abstractNumId w:val="27"/>
  </w:num>
  <w:num w:numId="20">
    <w:abstractNumId w:val="21"/>
  </w:num>
  <w:num w:numId="21">
    <w:abstractNumId w:val="22"/>
  </w:num>
  <w:num w:numId="22">
    <w:abstractNumId w:val="10"/>
  </w:num>
  <w:num w:numId="23">
    <w:abstractNumId w:val="19"/>
  </w:num>
  <w:num w:numId="24">
    <w:abstractNumId w:val="18"/>
  </w:num>
  <w:num w:numId="25">
    <w:abstractNumId w:val="17"/>
  </w:num>
  <w:num w:numId="26">
    <w:abstractNumId w:val="33"/>
  </w:num>
  <w:num w:numId="27">
    <w:abstractNumId w:val="13"/>
  </w:num>
  <w:num w:numId="28">
    <w:abstractNumId w:val="7"/>
  </w:num>
  <w:num w:numId="29">
    <w:abstractNumId w:val="25"/>
  </w:num>
  <w:num w:numId="30">
    <w:abstractNumId w:val="23"/>
  </w:num>
  <w:num w:numId="3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126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181"/>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5D1"/>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6E63"/>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1880"/>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6FBA"/>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2E0F"/>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1A69"/>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0FD9"/>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3ED4"/>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208"/>
    <w:rsid w:val="00EA1555"/>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401"/>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41"/>
    <o:shapelayout v:ext="edit">
      <o:idmap v:ext="edit" data="1"/>
    </o:shapelayout>
  </w:shapeDefaults>
  <w:decimalSymbol w:val=","/>
  <w:listSeparator w:val=";"/>
  <w14:docId w14:val="0237E7B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1709512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actualidad/normativa-empresarial/item/11345-resolucion-de-09-07-2021-de-la-consejeria-de-desarrollo-sostenible-de-la-jccm-por-la-se-aprueba-la-convocatoria-del-programa-de-incentivos-a-la-movilidad-electrica-moves-ii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stillalamancha.es/gobierno/desarrollosostenible/estructura/dgtranene/directorio" TargetMode="External"/><Relationship Id="rId4" Type="http://schemas.openxmlformats.org/officeDocument/2006/relationships/settings" Target="settings.xml"/><Relationship Id="rId9" Type="http://schemas.openxmlformats.org/officeDocument/2006/relationships/hyperlink" Target="https://www.iberdrola.es/negocio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4E9EC-AD62-4A32-9C99-045CB5ACF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Pages>
  <Words>862</Words>
  <Characters>5116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5967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8</cp:revision>
  <cp:lastPrinted>2021-03-16T11:17:00Z</cp:lastPrinted>
  <dcterms:created xsi:type="dcterms:W3CDTF">2021-07-15T09:33:00Z</dcterms:created>
  <dcterms:modified xsi:type="dcterms:W3CDTF">2021-07-19T09:39:00Z</dcterms:modified>
</cp:coreProperties>
</file>