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576" w:rsidRDefault="00807576" w:rsidP="000B67D4">
      <w:pPr>
        <w:pStyle w:val="Textoindependiente"/>
        <w:tabs>
          <w:tab w:val="left" w:pos="420"/>
        </w:tabs>
        <w:jc w:val="right"/>
        <w:rPr>
          <w:rFonts w:ascii="Tahoma" w:hAnsi="Tahoma" w:cs="Tahoma"/>
          <w:b w:val="0"/>
          <w:bCs/>
          <w:sz w:val="22"/>
          <w:szCs w:val="22"/>
        </w:rPr>
      </w:pPr>
    </w:p>
    <w:p w:rsidR="00807576" w:rsidRDefault="00807576" w:rsidP="000B67D4">
      <w:pPr>
        <w:pStyle w:val="Textoindependiente"/>
        <w:tabs>
          <w:tab w:val="left" w:pos="420"/>
        </w:tabs>
        <w:jc w:val="right"/>
        <w:rPr>
          <w:rFonts w:ascii="Tahoma" w:hAnsi="Tahoma" w:cs="Tahoma"/>
          <w:b w:val="0"/>
          <w:bCs/>
          <w:sz w:val="22"/>
          <w:szCs w:val="22"/>
        </w:rPr>
      </w:pPr>
    </w:p>
    <w:p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8629BB">
        <w:rPr>
          <w:rFonts w:ascii="Tahoma" w:hAnsi="Tahoma" w:cs="Tahoma"/>
          <w:bCs/>
          <w:sz w:val="22"/>
          <w:szCs w:val="22"/>
        </w:rPr>
        <w:t>15 de septiembre</w:t>
      </w:r>
      <w:r>
        <w:rPr>
          <w:rFonts w:ascii="Tahoma" w:hAnsi="Tahoma" w:cs="Tahoma"/>
          <w:bCs/>
          <w:sz w:val="22"/>
          <w:szCs w:val="22"/>
        </w:rPr>
        <w:t xml:space="preserve"> de 2021</w:t>
      </w:r>
    </w:p>
    <w:p w:rsidR="008629BB" w:rsidRDefault="008629BB" w:rsidP="0082053F">
      <w:pPr>
        <w:jc w:val="right"/>
        <w:rPr>
          <w:rFonts w:ascii="Tahoma" w:hAnsi="Tahoma" w:cs="Tahoma"/>
          <w:bCs/>
          <w:sz w:val="22"/>
          <w:szCs w:val="22"/>
        </w:rPr>
      </w:pPr>
    </w:p>
    <w:p w:rsidR="008629BB" w:rsidRDefault="008629BB" w:rsidP="0082053F">
      <w:pPr>
        <w:jc w:val="right"/>
        <w:rPr>
          <w:rFonts w:ascii="Tahoma" w:hAnsi="Tahoma" w:cs="Tahoma"/>
          <w:bCs/>
          <w:sz w:val="22"/>
          <w:szCs w:val="22"/>
        </w:rPr>
      </w:pPr>
    </w:p>
    <w:p w:rsidR="008629BB" w:rsidRDefault="008629BB" w:rsidP="008629BB">
      <w:pPr>
        <w:jc w:val="center"/>
        <w:rPr>
          <w:rFonts w:ascii="Tahoma" w:hAnsi="Tahoma" w:cs="Tahoma"/>
          <w:bCs/>
          <w:sz w:val="22"/>
          <w:szCs w:val="22"/>
        </w:rPr>
      </w:pPr>
    </w:p>
    <w:p w:rsidR="008629BB" w:rsidRDefault="008629BB" w:rsidP="008629BB">
      <w:pPr>
        <w:jc w:val="center"/>
        <w:rPr>
          <w:rFonts w:ascii="Tahoma" w:hAnsi="Tahoma" w:cs="Tahoma"/>
          <w:b/>
          <w:bCs/>
          <w:sz w:val="32"/>
          <w:szCs w:val="32"/>
        </w:rPr>
      </w:pPr>
      <w:r w:rsidRPr="008629BB">
        <w:rPr>
          <w:rFonts w:ascii="Tahoma" w:hAnsi="Tahoma" w:cs="Tahoma"/>
          <w:b/>
          <w:bCs/>
          <w:sz w:val="32"/>
          <w:szCs w:val="32"/>
        </w:rPr>
        <w:t>Una nueva jornada en FEDA expone la conciliación, el teletrabajo y planes de igualdad</w:t>
      </w:r>
    </w:p>
    <w:p w:rsidR="008629BB" w:rsidRDefault="008629BB" w:rsidP="008629BB">
      <w:pPr>
        <w:jc w:val="center"/>
        <w:rPr>
          <w:rFonts w:ascii="Tahoma" w:hAnsi="Tahoma" w:cs="Tahoma"/>
          <w:b/>
          <w:bCs/>
          <w:sz w:val="32"/>
          <w:szCs w:val="32"/>
        </w:rPr>
      </w:pPr>
    </w:p>
    <w:p w:rsidR="008629BB" w:rsidRDefault="008629BB" w:rsidP="00D23515">
      <w:pPr>
        <w:pStyle w:val="Prrafodelista"/>
        <w:numPr>
          <w:ilvl w:val="0"/>
          <w:numId w:val="32"/>
        </w:numPr>
        <w:spacing w:line="240" w:lineRule="auto"/>
        <w:jc w:val="center"/>
        <w:rPr>
          <w:rFonts w:ascii="Tahoma" w:hAnsi="Tahoma" w:cs="Tahoma"/>
          <w:b/>
          <w:bCs/>
          <w:szCs w:val="24"/>
        </w:rPr>
      </w:pPr>
      <w:r>
        <w:rPr>
          <w:rFonts w:ascii="Tahoma" w:hAnsi="Tahoma" w:cs="Tahoma"/>
          <w:b/>
          <w:bCs/>
          <w:szCs w:val="24"/>
        </w:rPr>
        <w:t>Protocolos organizativos y soluciones tecnológicas, así como fórmulas de teletrabajo que prevengan la doble o triple jornada de las mujeres y se trabaje desde un ejercicio responsable</w:t>
      </w:r>
    </w:p>
    <w:p w:rsidR="008629BB" w:rsidRDefault="008629BB" w:rsidP="008629BB">
      <w:pPr>
        <w:jc w:val="center"/>
        <w:rPr>
          <w:rFonts w:ascii="Tahoma" w:hAnsi="Tahoma" w:cs="Tahoma"/>
          <w:b/>
          <w:bCs/>
          <w:szCs w:val="24"/>
        </w:rPr>
      </w:pPr>
    </w:p>
    <w:p w:rsidR="008629BB" w:rsidRPr="00A75503" w:rsidRDefault="008629BB" w:rsidP="008629BB">
      <w:pPr>
        <w:rPr>
          <w:rFonts w:ascii="Tahoma" w:hAnsi="Tahoma" w:cs="Tahoma"/>
          <w:bCs/>
          <w:sz w:val="22"/>
          <w:szCs w:val="22"/>
        </w:rPr>
      </w:pPr>
      <w:r w:rsidRPr="00A75503">
        <w:rPr>
          <w:rFonts w:ascii="Tahoma" w:hAnsi="Tahoma" w:cs="Tahoma"/>
          <w:bCs/>
          <w:sz w:val="22"/>
          <w:szCs w:val="22"/>
        </w:rPr>
        <w:t xml:space="preserve">En el pasado mes de diciembre, una primera jornada de estas características se centró, sobre todo, en los planes de igualdad. En esta segunda ocasión, la jornada que se ha iniciado hoy en </w:t>
      </w:r>
      <w:hyperlink r:id="rId8" w:history="1">
        <w:r w:rsidRPr="00D23515">
          <w:rPr>
            <w:rStyle w:val="Hipervnculo"/>
            <w:rFonts w:ascii="Tahoma" w:hAnsi="Tahoma" w:cs="Tahoma"/>
            <w:bCs/>
            <w:sz w:val="22"/>
            <w:szCs w:val="22"/>
          </w:rPr>
          <w:t>FEDA</w:t>
        </w:r>
      </w:hyperlink>
      <w:r w:rsidRPr="00A75503">
        <w:rPr>
          <w:rFonts w:ascii="Tahoma" w:hAnsi="Tahoma" w:cs="Tahoma"/>
          <w:bCs/>
          <w:sz w:val="22"/>
          <w:szCs w:val="22"/>
        </w:rPr>
        <w:t xml:space="preserve"> y que tendrá una segunda sesión mañana jueves, día 16 de septiembre, aúnan conciliación, teletrabajo y planes de igualdad.</w:t>
      </w:r>
    </w:p>
    <w:p w:rsidR="008629BB" w:rsidRPr="00A75503" w:rsidRDefault="008629BB" w:rsidP="008629BB">
      <w:pPr>
        <w:rPr>
          <w:rFonts w:ascii="Tahoma" w:hAnsi="Tahoma" w:cs="Tahoma"/>
          <w:bCs/>
          <w:sz w:val="22"/>
          <w:szCs w:val="22"/>
        </w:rPr>
      </w:pPr>
    </w:p>
    <w:p w:rsidR="008629BB" w:rsidRPr="00A75503" w:rsidRDefault="008629BB" w:rsidP="00A75503">
      <w:pPr>
        <w:tabs>
          <w:tab w:val="left" w:pos="2925"/>
        </w:tabs>
        <w:ind w:right="-11"/>
        <w:rPr>
          <w:rFonts w:ascii="Tahoma" w:hAnsi="Tahoma" w:cs="Tahoma"/>
          <w:bCs/>
          <w:sz w:val="22"/>
          <w:szCs w:val="22"/>
        </w:rPr>
      </w:pPr>
      <w:r w:rsidRPr="00A75503">
        <w:rPr>
          <w:rFonts w:ascii="Tahoma" w:hAnsi="Tahoma" w:cs="Tahoma"/>
          <w:bCs/>
          <w:sz w:val="22"/>
          <w:szCs w:val="22"/>
        </w:rPr>
        <w:t xml:space="preserve">En estos dos días, </w:t>
      </w:r>
      <w:r w:rsidR="00A75503" w:rsidRPr="00A75503">
        <w:rPr>
          <w:rFonts w:ascii="Tahoma" w:eastAsiaTheme="minorHAnsi" w:hAnsi="Tahoma" w:cs="Tahoma"/>
          <w:sz w:val="22"/>
          <w:szCs w:val="22"/>
          <w:lang w:eastAsia="en-US"/>
        </w:rPr>
        <w:t>se proporcionará a los asistentes información sobre el teletrabajo, facilitándoles herramientas necesarias para implementar el teletrabajo en sus organizaciones apli</w:t>
      </w:r>
      <w:r w:rsidR="00A75503" w:rsidRPr="00A75503">
        <w:rPr>
          <w:rFonts w:ascii="Tahoma" w:eastAsiaTheme="minorHAnsi" w:hAnsi="Tahoma" w:cs="Tahoma"/>
          <w:sz w:val="22"/>
          <w:szCs w:val="22"/>
          <w:lang w:eastAsia="en-US"/>
        </w:rPr>
        <w:t xml:space="preserve">cando la perspectiva de género y </w:t>
      </w:r>
      <w:r w:rsidR="00A75503" w:rsidRPr="00A75503">
        <w:rPr>
          <w:rFonts w:ascii="Tahoma" w:hAnsi="Tahoma" w:cs="Tahoma"/>
          <w:bCs/>
          <w:sz w:val="22"/>
          <w:szCs w:val="22"/>
        </w:rPr>
        <w:t>se abordan una serie de objetivos:</w:t>
      </w:r>
    </w:p>
    <w:p w:rsidR="00A75503" w:rsidRPr="00A75503" w:rsidRDefault="00A75503" w:rsidP="008629BB">
      <w:pPr>
        <w:rPr>
          <w:rFonts w:ascii="Tahoma" w:hAnsi="Tahoma" w:cs="Tahoma"/>
          <w:bCs/>
          <w:sz w:val="22"/>
          <w:szCs w:val="22"/>
        </w:rPr>
      </w:pPr>
    </w:p>
    <w:p w:rsidR="00A75503" w:rsidRPr="00A75503" w:rsidRDefault="00A75503" w:rsidP="00A75503">
      <w:pPr>
        <w:numPr>
          <w:ilvl w:val="0"/>
          <w:numId w:val="33"/>
        </w:numPr>
        <w:autoSpaceDE w:val="0"/>
        <w:autoSpaceDN w:val="0"/>
        <w:adjustRightInd w:val="0"/>
        <w:spacing w:after="34" w:line="259" w:lineRule="auto"/>
        <w:contextualSpacing/>
        <w:jc w:val="left"/>
        <w:rPr>
          <w:rFonts w:ascii="Tahoma" w:eastAsiaTheme="minorEastAsia" w:hAnsi="Tahoma" w:cs="Tahoma"/>
          <w:color w:val="000000" w:themeColor="text1"/>
          <w:kern w:val="22"/>
          <w:sz w:val="22"/>
          <w:szCs w:val="22"/>
          <w:lang w:val="es-ES" w:eastAsia="ja-JP"/>
          <w14:ligatures w14:val="standard"/>
        </w:rPr>
      </w:pPr>
      <w:r w:rsidRPr="00A75503">
        <w:rPr>
          <w:rFonts w:ascii="Tahoma" w:eastAsiaTheme="minorEastAsia" w:hAnsi="Tahoma" w:cs="Tahoma"/>
          <w:color w:val="000000" w:themeColor="text1"/>
          <w:kern w:val="22"/>
          <w:sz w:val="22"/>
          <w:szCs w:val="22"/>
          <w:lang w:val="es-ES" w:eastAsia="ja-JP"/>
          <w14:ligatures w14:val="standard"/>
        </w:rPr>
        <w:t>Informar sobre la regulación jurídico- laboral del teletrabajo.</w:t>
      </w:r>
    </w:p>
    <w:p w:rsidR="00A75503" w:rsidRPr="00A75503" w:rsidRDefault="00A75503" w:rsidP="00A75503">
      <w:pPr>
        <w:numPr>
          <w:ilvl w:val="0"/>
          <w:numId w:val="33"/>
        </w:numPr>
        <w:autoSpaceDE w:val="0"/>
        <w:autoSpaceDN w:val="0"/>
        <w:adjustRightInd w:val="0"/>
        <w:spacing w:after="34" w:line="259" w:lineRule="auto"/>
        <w:contextualSpacing/>
        <w:jc w:val="left"/>
        <w:rPr>
          <w:rFonts w:ascii="Tahoma" w:eastAsiaTheme="minorEastAsia" w:hAnsi="Tahoma" w:cs="Tahoma"/>
          <w:kern w:val="22"/>
          <w:sz w:val="22"/>
          <w:szCs w:val="22"/>
          <w:lang w:val="es-ES" w:eastAsia="ja-JP"/>
          <w14:ligatures w14:val="standard"/>
        </w:rPr>
      </w:pPr>
      <w:r w:rsidRPr="00A75503">
        <w:rPr>
          <w:rFonts w:ascii="Tahoma" w:eastAsiaTheme="minorEastAsia" w:hAnsi="Tahoma" w:cs="Tahoma"/>
          <w:kern w:val="22"/>
          <w:sz w:val="22"/>
          <w:szCs w:val="22"/>
          <w:lang w:val="es-ES" w:eastAsia="ja-JP"/>
          <w14:ligatures w14:val="standard"/>
        </w:rPr>
        <w:t>Trabajar el concepto de conciliación unido al de corresponsabilidad, así como las ventajas que proporciona para la empresa la implantación de medidas de organización de tiempos y espacios de trabajo.</w:t>
      </w:r>
    </w:p>
    <w:p w:rsidR="00A75503" w:rsidRPr="00A75503" w:rsidRDefault="00A75503" w:rsidP="00A75503">
      <w:pPr>
        <w:numPr>
          <w:ilvl w:val="0"/>
          <w:numId w:val="33"/>
        </w:numPr>
        <w:autoSpaceDE w:val="0"/>
        <w:autoSpaceDN w:val="0"/>
        <w:adjustRightInd w:val="0"/>
        <w:spacing w:after="34" w:line="259" w:lineRule="auto"/>
        <w:contextualSpacing/>
        <w:jc w:val="left"/>
        <w:rPr>
          <w:rFonts w:ascii="Tahoma" w:eastAsiaTheme="minorEastAsia" w:hAnsi="Tahoma" w:cs="Tahoma"/>
          <w:color w:val="000000" w:themeColor="text1"/>
          <w:kern w:val="22"/>
          <w:sz w:val="22"/>
          <w:szCs w:val="22"/>
          <w:lang w:val="es-ES" w:eastAsia="ja-JP"/>
          <w14:ligatures w14:val="standard"/>
        </w:rPr>
      </w:pPr>
      <w:r w:rsidRPr="00A75503">
        <w:rPr>
          <w:rFonts w:ascii="Tahoma" w:eastAsiaTheme="minorEastAsia" w:hAnsi="Tahoma" w:cs="Tahoma"/>
          <w:color w:val="000000" w:themeColor="text1"/>
          <w:kern w:val="22"/>
          <w:sz w:val="22"/>
          <w:szCs w:val="22"/>
          <w:lang w:val="es-ES" w:eastAsia="ja-JP"/>
          <w14:ligatures w14:val="standard"/>
        </w:rPr>
        <w:t>Informar sobre los protocolos organizativos y las soluciones tecnológicas existentes para poder implantar un sistema de teletrabajo eficaz.</w:t>
      </w:r>
    </w:p>
    <w:p w:rsidR="00A75503" w:rsidRPr="00A75503" w:rsidRDefault="00A75503" w:rsidP="00A75503">
      <w:pPr>
        <w:numPr>
          <w:ilvl w:val="0"/>
          <w:numId w:val="33"/>
        </w:numPr>
        <w:autoSpaceDE w:val="0"/>
        <w:autoSpaceDN w:val="0"/>
        <w:adjustRightInd w:val="0"/>
        <w:spacing w:after="34" w:line="259" w:lineRule="auto"/>
        <w:contextualSpacing/>
        <w:jc w:val="left"/>
        <w:rPr>
          <w:rFonts w:ascii="Tahoma" w:eastAsiaTheme="minorEastAsia" w:hAnsi="Tahoma" w:cs="Tahoma"/>
          <w:color w:val="000000" w:themeColor="text1"/>
          <w:kern w:val="22"/>
          <w:sz w:val="22"/>
          <w:szCs w:val="22"/>
          <w:lang w:val="es-ES" w:eastAsia="ja-JP"/>
          <w14:ligatures w14:val="standard"/>
        </w:rPr>
      </w:pPr>
      <w:r w:rsidRPr="00A75503">
        <w:rPr>
          <w:rFonts w:ascii="Tahoma" w:eastAsiaTheme="minorEastAsia" w:hAnsi="Tahoma" w:cs="Tahoma"/>
          <w:color w:val="000000" w:themeColor="text1"/>
          <w:kern w:val="22"/>
          <w:sz w:val="22"/>
          <w:szCs w:val="22"/>
          <w:lang w:val="es-ES" w:eastAsia="ja-JP"/>
          <w14:ligatures w14:val="standard"/>
        </w:rPr>
        <w:t>Dar herramientas a empresas y trabajadores y trabajadoras para poder teletrabajar de manera eficiente.</w:t>
      </w:r>
    </w:p>
    <w:p w:rsidR="00A75503" w:rsidRPr="00A75503" w:rsidRDefault="00A75503" w:rsidP="00A75503">
      <w:pPr>
        <w:numPr>
          <w:ilvl w:val="0"/>
          <w:numId w:val="33"/>
        </w:numPr>
        <w:autoSpaceDE w:val="0"/>
        <w:autoSpaceDN w:val="0"/>
        <w:adjustRightInd w:val="0"/>
        <w:spacing w:after="34" w:line="259" w:lineRule="auto"/>
        <w:contextualSpacing/>
        <w:jc w:val="left"/>
        <w:rPr>
          <w:rFonts w:ascii="Tahoma" w:eastAsiaTheme="minorEastAsia" w:hAnsi="Tahoma" w:cs="Tahoma"/>
          <w:color w:val="000000" w:themeColor="text1"/>
          <w:kern w:val="22"/>
          <w:sz w:val="22"/>
          <w:szCs w:val="22"/>
          <w:lang w:val="es-ES" w:eastAsia="ja-JP"/>
          <w14:ligatures w14:val="standard"/>
        </w:rPr>
      </w:pPr>
      <w:r w:rsidRPr="00A75503">
        <w:rPr>
          <w:rFonts w:ascii="Tahoma" w:eastAsiaTheme="minorEastAsia" w:hAnsi="Tahoma" w:cs="Tahoma"/>
          <w:color w:val="000000" w:themeColor="text1"/>
          <w:kern w:val="22"/>
          <w:sz w:val="22"/>
          <w:szCs w:val="22"/>
          <w:lang w:val="es-ES" w:eastAsia="ja-JP"/>
          <w14:ligatures w14:val="standard"/>
        </w:rPr>
        <w:t>Informar sobre los planes de igualdad como herramienta para la conciliación y la adaptación a las nuevas realidades de trabajo.</w:t>
      </w:r>
    </w:p>
    <w:p w:rsidR="00A75503" w:rsidRPr="00A75503" w:rsidRDefault="00A75503" w:rsidP="00A75503">
      <w:pPr>
        <w:numPr>
          <w:ilvl w:val="0"/>
          <w:numId w:val="33"/>
        </w:numPr>
        <w:autoSpaceDE w:val="0"/>
        <w:autoSpaceDN w:val="0"/>
        <w:adjustRightInd w:val="0"/>
        <w:spacing w:after="34" w:line="259" w:lineRule="auto"/>
        <w:contextualSpacing/>
        <w:jc w:val="left"/>
        <w:rPr>
          <w:rFonts w:ascii="Tahoma" w:eastAsiaTheme="minorEastAsia" w:hAnsi="Tahoma" w:cs="Tahoma"/>
          <w:color w:val="000000" w:themeColor="text1"/>
          <w:kern w:val="22"/>
          <w:sz w:val="22"/>
          <w:szCs w:val="22"/>
          <w:lang w:val="es-ES" w:eastAsia="ja-JP"/>
          <w14:ligatures w14:val="standard"/>
        </w:rPr>
      </w:pPr>
      <w:r w:rsidRPr="00A75503">
        <w:rPr>
          <w:rFonts w:ascii="Tahoma" w:eastAsiaTheme="minorEastAsia" w:hAnsi="Tahoma" w:cs="Tahoma"/>
          <w:color w:val="000000" w:themeColor="text1"/>
          <w:kern w:val="22"/>
          <w:sz w:val="22"/>
          <w:szCs w:val="22"/>
          <w:lang w:val="es-ES" w:eastAsia="ja-JP"/>
          <w14:ligatures w14:val="standard"/>
        </w:rPr>
        <w:t xml:space="preserve">Promover fórmulas de teletrabajo que prevengan la doble o triple jornada de las mujeres y que, por el contrario, se trabaje desde un ejercicio corresponsable. </w:t>
      </w:r>
    </w:p>
    <w:p w:rsidR="00A75503" w:rsidRPr="00A75503" w:rsidRDefault="00A75503" w:rsidP="00A75503">
      <w:pPr>
        <w:numPr>
          <w:ilvl w:val="0"/>
          <w:numId w:val="33"/>
        </w:numPr>
        <w:autoSpaceDE w:val="0"/>
        <w:autoSpaceDN w:val="0"/>
        <w:adjustRightInd w:val="0"/>
        <w:spacing w:after="34" w:line="259" w:lineRule="auto"/>
        <w:contextualSpacing/>
        <w:jc w:val="left"/>
        <w:rPr>
          <w:rFonts w:ascii="Tahoma" w:eastAsiaTheme="minorEastAsia" w:hAnsi="Tahoma" w:cs="Tahoma"/>
          <w:color w:val="000000" w:themeColor="text1"/>
          <w:kern w:val="22"/>
          <w:sz w:val="22"/>
          <w:szCs w:val="22"/>
          <w:lang w:val="es-ES" w:eastAsia="ja-JP"/>
          <w14:ligatures w14:val="standard"/>
        </w:rPr>
      </w:pPr>
      <w:r w:rsidRPr="00A75503">
        <w:rPr>
          <w:rFonts w:ascii="Tahoma" w:eastAsiaTheme="minorEastAsia" w:hAnsi="Tahoma" w:cs="Tahoma"/>
          <w:color w:val="000000" w:themeColor="text1"/>
          <w:kern w:val="22"/>
          <w:sz w:val="22"/>
          <w:szCs w:val="22"/>
          <w:lang w:val="es-ES" w:eastAsia="ja-JP"/>
          <w14:ligatures w14:val="standard"/>
        </w:rPr>
        <w:t>Visibilizar buenas prácticas de empresas que han implantado el teletrabajo y que puedan servir de referencia.</w:t>
      </w:r>
    </w:p>
    <w:p w:rsidR="00A75503" w:rsidRPr="00A75503" w:rsidRDefault="00A75503" w:rsidP="00A75503">
      <w:pPr>
        <w:autoSpaceDE w:val="0"/>
        <w:autoSpaceDN w:val="0"/>
        <w:adjustRightInd w:val="0"/>
        <w:spacing w:after="34" w:line="259" w:lineRule="auto"/>
        <w:contextualSpacing/>
        <w:jc w:val="left"/>
        <w:rPr>
          <w:rFonts w:ascii="Tahoma" w:eastAsiaTheme="minorEastAsia" w:hAnsi="Tahoma" w:cs="Tahoma"/>
          <w:color w:val="000000" w:themeColor="text1"/>
          <w:kern w:val="22"/>
          <w:sz w:val="22"/>
          <w:szCs w:val="22"/>
          <w:lang w:val="es-ES" w:eastAsia="ja-JP"/>
          <w14:ligatures w14:val="standard"/>
        </w:rPr>
      </w:pPr>
    </w:p>
    <w:p w:rsidR="00A75503" w:rsidRPr="00A75503" w:rsidRDefault="00A75503" w:rsidP="00A75503">
      <w:pPr>
        <w:rPr>
          <w:rFonts w:ascii="Tahoma" w:eastAsiaTheme="minorHAnsi" w:hAnsi="Tahoma" w:cs="Tahoma"/>
          <w:sz w:val="22"/>
          <w:szCs w:val="22"/>
          <w:lang w:val="es-ES" w:eastAsia="en-US"/>
        </w:rPr>
      </w:pPr>
      <w:r w:rsidRPr="00A75503">
        <w:rPr>
          <w:rFonts w:ascii="Tahoma" w:eastAsiaTheme="minorEastAsia" w:hAnsi="Tahoma" w:cs="Tahoma"/>
          <w:color w:val="000000" w:themeColor="text1"/>
          <w:kern w:val="22"/>
          <w:sz w:val="22"/>
          <w:szCs w:val="22"/>
          <w:lang w:val="es-ES" w:eastAsia="ja-JP"/>
          <w14:ligatures w14:val="standard"/>
        </w:rPr>
        <w:t xml:space="preserve">Esta jornada está </w:t>
      </w:r>
      <w:r w:rsidRPr="00A75503">
        <w:rPr>
          <w:rFonts w:ascii="Tahoma" w:eastAsiaTheme="minorHAnsi" w:hAnsi="Tahoma" w:cs="Tahoma"/>
          <w:sz w:val="22"/>
          <w:szCs w:val="22"/>
          <w:lang w:val="es-ES" w:eastAsia="en-US"/>
        </w:rPr>
        <w:t xml:space="preserve">organizada por la Confederación de Empresarios de Albacete, FEDA y la Confederación de Empresarios de Castilla-La Mancha, </w:t>
      </w:r>
      <w:hyperlink r:id="rId9" w:history="1">
        <w:r w:rsidRPr="00D23515">
          <w:rPr>
            <w:rStyle w:val="Hipervnculo"/>
            <w:rFonts w:ascii="Tahoma" w:eastAsiaTheme="minorHAnsi" w:hAnsi="Tahoma" w:cs="Tahoma"/>
            <w:sz w:val="22"/>
            <w:szCs w:val="22"/>
            <w:lang w:val="es-ES" w:eastAsia="en-US"/>
          </w:rPr>
          <w:t>CECAM</w:t>
        </w:r>
      </w:hyperlink>
      <w:r w:rsidRPr="00A75503">
        <w:rPr>
          <w:rFonts w:ascii="Tahoma" w:eastAsiaTheme="minorHAnsi" w:hAnsi="Tahoma" w:cs="Tahoma"/>
          <w:sz w:val="22"/>
          <w:szCs w:val="22"/>
          <w:lang w:val="es-ES" w:eastAsia="en-US"/>
        </w:rPr>
        <w:t xml:space="preserve">, con la financiación de la </w:t>
      </w:r>
      <w:hyperlink r:id="rId10" w:history="1">
        <w:r w:rsidRPr="00E01907">
          <w:rPr>
            <w:rStyle w:val="Hipervnculo"/>
            <w:rFonts w:ascii="Tahoma" w:eastAsiaTheme="minorHAnsi" w:hAnsi="Tahoma" w:cs="Tahoma"/>
            <w:sz w:val="22"/>
            <w:szCs w:val="22"/>
            <w:lang w:val="es-ES" w:eastAsia="en-US"/>
          </w:rPr>
          <w:t>Dirección General de Autónomos, Trabajo y Economía Social de la Consejería de Economía, Empresas y Empleo de la Junta de Comunidades de Castilla-La Mancha</w:t>
        </w:r>
      </w:hyperlink>
      <w:r w:rsidRPr="00A75503">
        <w:rPr>
          <w:rFonts w:ascii="Tahoma" w:eastAsiaTheme="minorHAnsi" w:hAnsi="Tahoma" w:cs="Tahoma"/>
          <w:sz w:val="22"/>
          <w:szCs w:val="22"/>
          <w:lang w:val="es-ES" w:eastAsia="en-US"/>
        </w:rPr>
        <w:t xml:space="preserve"> y el </w:t>
      </w:r>
      <w:hyperlink r:id="rId11" w:history="1">
        <w:r w:rsidRPr="00E01907">
          <w:rPr>
            <w:rStyle w:val="Hipervnculo"/>
            <w:rFonts w:ascii="Tahoma" w:eastAsiaTheme="minorHAnsi" w:hAnsi="Tahoma" w:cs="Tahoma"/>
            <w:sz w:val="22"/>
            <w:szCs w:val="22"/>
            <w:lang w:val="es-ES" w:eastAsia="en-US"/>
          </w:rPr>
          <w:t>Ministerio de Trabajo y Seguridad Social</w:t>
        </w:r>
      </w:hyperlink>
      <w:r w:rsidRPr="00A75503">
        <w:rPr>
          <w:rFonts w:ascii="Tahoma" w:eastAsiaTheme="minorHAnsi" w:hAnsi="Tahoma" w:cs="Tahoma"/>
          <w:sz w:val="22"/>
          <w:szCs w:val="22"/>
          <w:lang w:val="es-ES" w:eastAsia="en-US"/>
        </w:rPr>
        <w:t xml:space="preserve">. Cuenta con la colaboración de </w:t>
      </w:r>
      <w:hyperlink r:id="rId12" w:history="1">
        <w:r w:rsidRPr="00E01907">
          <w:rPr>
            <w:rStyle w:val="Hipervnculo"/>
            <w:rFonts w:ascii="Tahoma" w:eastAsiaTheme="minorHAnsi" w:hAnsi="Tahoma" w:cs="Tahoma"/>
            <w:sz w:val="22"/>
            <w:szCs w:val="22"/>
            <w:lang w:val="es-ES" w:eastAsia="en-US"/>
          </w:rPr>
          <w:t>Concilia2</w:t>
        </w:r>
      </w:hyperlink>
      <w:r w:rsidRPr="00A75503">
        <w:rPr>
          <w:rFonts w:ascii="Tahoma" w:eastAsiaTheme="minorHAnsi" w:hAnsi="Tahoma" w:cs="Tahoma"/>
          <w:sz w:val="22"/>
          <w:szCs w:val="22"/>
          <w:lang w:val="es-ES" w:eastAsia="en-US"/>
        </w:rPr>
        <w:t xml:space="preserve"> y el </w:t>
      </w:r>
      <w:hyperlink r:id="rId13" w:history="1">
        <w:r w:rsidRPr="00E01907">
          <w:rPr>
            <w:rStyle w:val="Hipervnculo"/>
            <w:rFonts w:ascii="Tahoma" w:eastAsiaTheme="minorHAnsi" w:hAnsi="Tahoma" w:cs="Tahoma"/>
            <w:sz w:val="22"/>
            <w:szCs w:val="22"/>
            <w:lang w:val="es-ES" w:eastAsia="en-US"/>
          </w:rPr>
          <w:t>Observatorio Provincial de Igualdad en las Relaciones Laborales (OPI Albacete).</w:t>
        </w:r>
      </w:hyperlink>
    </w:p>
    <w:p w:rsidR="00A75503" w:rsidRDefault="00A75503" w:rsidP="00A75503">
      <w:pPr>
        <w:autoSpaceDE w:val="0"/>
        <w:autoSpaceDN w:val="0"/>
        <w:adjustRightInd w:val="0"/>
        <w:spacing w:after="34" w:line="259" w:lineRule="auto"/>
        <w:contextualSpacing/>
        <w:jc w:val="left"/>
        <w:rPr>
          <w:rFonts w:ascii="Tahoma" w:eastAsiaTheme="minorEastAsia" w:hAnsi="Tahoma" w:cs="Tahoma"/>
          <w:color w:val="000000" w:themeColor="text1"/>
          <w:kern w:val="22"/>
          <w:szCs w:val="24"/>
          <w:lang w:val="es-ES" w:eastAsia="ja-JP"/>
          <w14:ligatures w14:val="standard"/>
        </w:rPr>
      </w:pPr>
    </w:p>
    <w:p w:rsidR="00A75503" w:rsidRDefault="00A75503" w:rsidP="00A75503">
      <w:pPr>
        <w:autoSpaceDE w:val="0"/>
        <w:autoSpaceDN w:val="0"/>
        <w:adjustRightInd w:val="0"/>
        <w:spacing w:after="34" w:line="259" w:lineRule="auto"/>
        <w:contextualSpacing/>
        <w:jc w:val="left"/>
        <w:rPr>
          <w:rFonts w:ascii="Tahoma" w:eastAsiaTheme="minorEastAsia" w:hAnsi="Tahoma" w:cs="Tahoma"/>
          <w:color w:val="000000" w:themeColor="text1"/>
          <w:kern w:val="22"/>
          <w:szCs w:val="24"/>
          <w:lang w:val="es-ES" w:eastAsia="ja-JP"/>
          <w14:ligatures w14:val="standard"/>
        </w:rPr>
      </w:pPr>
    </w:p>
    <w:p w:rsidR="00A75503" w:rsidRDefault="00A75503" w:rsidP="00A75503">
      <w:pPr>
        <w:autoSpaceDE w:val="0"/>
        <w:autoSpaceDN w:val="0"/>
        <w:adjustRightInd w:val="0"/>
        <w:spacing w:after="34" w:line="259" w:lineRule="auto"/>
        <w:contextualSpacing/>
        <w:jc w:val="left"/>
        <w:rPr>
          <w:rFonts w:ascii="Tahoma" w:eastAsiaTheme="minorEastAsia" w:hAnsi="Tahoma" w:cs="Tahoma"/>
          <w:color w:val="000000" w:themeColor="text1"/>
          <w:kern w:val="22"/>
          <w:sz w:val="22"/>
          <w:szCs w:val="22"/>
          <w:lang w:val="es-ES" w:eastAsia="ja-JP"/>
          <w14:ligatures w14:val="standard"/>
        </w:rPr>
      </w:pPr>
    </w:p>
    <w:p w:rsidR="00A75503" w:rsidRDefault="00A75503" w:rsidP="00A75503">
      <w:pPr>
        <w:autoSpaceDE w:val="0"/>
        <w:autoSpaceDN w:val="0"/>
        <w:adjustRightInd w:val="0"/>
        <w:spacing w:after="34" w:line="259" w:lineRule="auto"/>
        <w:contextualSpacing/>
        <w:jc w:val="left"/>
        <w:rPr>
          <w:rFonts w:ascii="Tahoma" w:eastAsiaTheme="minorEastAsia" w:hAnsi="Tahoma" w:cs="Tahoma"/>
          <w:color w:val="000000" w:themeColor="text1"/>
          <w:kern w:val="22"/>
          <w:sz w:val="22"/>
          <w:szCs w:val="22"/>
          <w:lang w:val="es-ES" w:eastAsia="ja-JP"/>
          <w14:ligatures w14:val="standard"/>
        </w:rPr>
      </w:pPr>
    </w:p>
    <w:p w:rsidR="00C240AA" w:rsidRPr="00C240AA" w:rsidRDefault="00C240AA" w:rsidP="00BF253C">
      <w:pPr>
        <w:rPr>
          <w:rFonts w:ascii="Tahoma" w:eastAsiaTheme="minorEastAsia" w:hAnsi="Tahoma" w:cs="Tahoma"/>
          <w:b/>
          <w:color w:val="000000" w:themeColor="text1"/>
          <w:kern w:val="22"/>
          <w:sz w:val="22"/>
          <w:szCs w:val="22"/>
          <w:lang w:val="es-ES" w:eastAsia="ja-JP"/>
          <w14:ligatures w14:val="standard"/>
        </w:rPr>
      </w:pPr>
      <w:r>
        <w:rPr>
          <w:rFonts w:ascii="Tahoma" w:eastAsiaTheme="minorEastAsia" w:hAnsi="Tahoma" w:cs="Tahoma"/>
          <w:b/>
          <w:color w:val="000000" w:themeColor="text1"/>
          <w:kern w:val="22"/>
          <w:sz w:val="22"/>
          <w:szCs w:val="22"/>
          <w:lang w:val="es-ES" w:eastAsia="ja-JP"/>
          <w14:ligatures w14:val="standard"/>
        </w:rPr>
        <w:lastRenderedPageBreak/>
        <w:t>Fórmulas para gestionar el teletrabajo</w:t>
      </w:r>
    </w:p>
    <w:p w:rsidR="00C240AA" w:rsidRDefault="00C240AA" w:rsidP="00BF253C">
      <w:pPr>
        <w:rPr>
          <w:rFonts w:ascii="Tahoma" w:eastAsiaTheme="minorEastAsia" w:hAnsi="Tahoma" w:cs="Tahoma"/>
          <w:color w:val="000000" w:themeColor="text1"/>
          <w:kern w:val="22"/>
          <w:sz w:val="22"/>
          <w:szCs w:val="22"/>
          <w:lang w:val="es-ES" w:eastAsia="ja-JP"/>
          <w14:ligatures w14:val="standard"/>
        </w:rPr>
      </w:pPr>
    </w:p>
    <w:p w:rsidR="00BF253C" w:rsidRDefault="00A75503" w:rsidP="00BF253C">
      <w:pPr>
        <w:rPr>
          <w:rFonts w:ascii="Tahoma" w:eastAsiaTheme="minorHAnsi" w:hAnsi="Tahoma" w:cs="Tahoma"/>
          <w:bCs/>
          <w:sz w:val="22"/>
          <w:szCs w:val="22"/>
          <w:lang w:eastAsia="en-US"/>
        </w:rPr>
      </w:pPr>
      <w:r w:rsidRPr="00A75503">
        <w:rPr>
          <w:rFonts w:ascii="Tahoma" w:eastAsiaTheme="minorEastAsia" w:hAnsi="Tahoma" w:cs="Tahoma"/>
          <w:color w:val="000000" w:themeColor="text1"/>
          <w:kern w:val="22"/>
          <w:sz w:val="22"/>
          <w:szCs w:val="22"/>
          <w:lang w:val="es-ES" w:eastAsia="ja-JP"/>
          <w14:ligatures w14:val="standard"/>
        </w:rPr>
        <w:t xml:space="preserve">La apertura de la jornada ha corrido a cargo de la vicepresidenta de FEDA, Rosario Jiménez, quien ha </w:t>
      </w:r>
      <w:r w:rsidR="00BF253C">
        <w:rPr>
          <w:rFonts w:ascii="Tahoma" w:eastAsiaTheme="minorEastAsia" w:hAnsi="Tahoma" w:cs="Tahoma"/>
          <w:color w:val="000000" w:themeColor="text1"/>
          <w:kern w:val="22"/>
          <w:sz w:val="22"/>
          <w:szCs w:val="22"/>
          <w:lang w:val="es-ES" w:eastAsia="ja-JP"/>
          <w14:ligatures w14:val="standard"/>
        </w:rPr>
        <w:t xml:space="preserve">resaltado como </w:t>
      </w:r>
      <w:r w:rsidR="00BF253C">
        <w:rPr>
          <w:rFonts w:ascii="Tahoma" w:eastAsiaTheme="minorHAnsi" w:hAnsi="Tahoma" w:cs="Tahoma"/>
          <w:sz w:val="22"/>
          <w:szCs w:val="22"/>
          <w:lang w:val="es-ES" w:eastAsia="en-US"/>
        </w:rPr>
        <w:t>e</w:t>
      </w:r>
      <w:r w:rsidR="00BF253C" w:rsidRPr="00BF253C">
        <w:rPr>
          <w:rFonts w:ascii="Tahoma" w:eastAsiaTheme="minorHAnsi" w:hAnsi="Tahoma" w:cs="Tahoma"/>
          <w:sz w:val="22"/>
          <w:szCs w:val="22"/>
          <w:lang w:val="es-ES" w:eastAsia="en-US"/>
        </w:rPr>
        <w:t>specialmente a partir de la crisis de 2008, la aparición de nuevos planteamientos sobre la justicia social, la democracia, la calidad del trabajo y los modelos de relaciones laborales han constituido un desafío para los sistemas tradic</w:t>
      </w:r>
      <w:r w:rsidR="00BF253C">
        <w:rPr>
          <w:rFonts w:ascii="Tahoma" w:eastAsiaTheme="minorHAnsi" w:hAnsi="Tahoma" w:cs="Tahoma"/>
          <w:sz w:val="22"/>
          <w:szCs w:val="22"/>
          <w:lang w:val="es-ES" w:eastAsia="en-US"/>
        </w:rPr>
        <w:t>ionales de relaciones laborales, apuntado que “l</w:t>
      </w:r>
      <w:r w:rsidR="00BF253C" w:rsidRPr="00BF253C">
        <w:rPr>
          <w:rFonts w:ascii="Tahoma" w:eastAsiaTheme="minorHAnsi" w:hAnsi="Tahoma" w:cs="Tahoma"/>
          <w:sz w:val="22"/>
          <w:szCs w:val="22"/>
          <w:lang w:eastAsia="en-US"/>
        </w:rPr>
        <w:t xml:space="preserve">os beneficios que se obtienen por la implantación de las </w:t>
      </w:r>
      <w:r w:rsidR="00BF253C" w:rsidRPr="00BF253C">
        <w:rPr>
          <w:rFonts w:ascii="Tahoma" w:eastAsiaTheme="minorHAnsi" w:hAnsi="Tahoma" w:cs="Tahoma"/>
          <w:bCs/>
          <w:sz w:val="22"/>
          <w:szCs w:val="22"/>
          <w:lang w:eastAsia="en-US"/>
        </w:rPr>
        <w:t>medidas de conciliación y corresponsabilidad</w:t>
      </w:r>
      <w:r w:rsidR="00BF253C" w:rsidRPr="00BF253C">
        <w:rPr>
          <w:rFonts w:ascii="Tahoma" w:eastAsiaTheme="minorHAnsi" w:hAnsi="Tahoma" w:cs="Tahoma"/>
          <w:sz w:val="22"/>
          <w:szCs w:val="22"/>
          <w:lang w:eastAsia="en-US"/>
        </w:rPr>
        <w:t xml:space="preserve"> son, además del aumento de la productividad, la retención y atracción del talento, la reducción del absentismo laboral, la mejora del clima laboral y la </w:t>
      </w:r>
      <w:r w:rsidR="00BF253C" w:rsidRPr="00BF253C">
        <w:rPr>
          <w:rFonts w:ascii="Tahoma" w:eastAsiaTheme="minorHAnsi" w:hAnsi="Tahoma" w:cs="Tahoma"/>
          <w:bCs/>
          <w:sz w:val="22"/>
          <w:szCs w:val="22"/>
          <w:lang w:eastAsia="en-US"/>
        </w:rPr>
        <w:t>promoción de la igualdad entre mujeres y hombres</w:t>
      </w:r>
      <w:r w:rsidR="00BF253C">
        <w:rPr>
          <w:rFonts w:ascii="Tahoma" w:eastAsiaTheme="minorHAnsi" w:hAnsi="Tahoma" w:cs="Tahoma"/>
          <w:bCs/>
          <w:sz w:val="22"/>
          <w:szCs w:val="22"/>
          <w:lang w:eastAsia="en-US"/>
        </w:rPr>
        <w:t>”.</w:t>
      </w:r>
    </w:p>
    <w:p w:rsidR="00BF253C" w:rsidRDefault="00BF253C" w:rsidP="00BF253C">
      <w:pPr>
        <w:rPr>
          <w:rFonts w:ascii="Tahoma" w:eastAsiaTheme="minorHAnsi" w:hAnsi="Tahoma" w:cs="Tahoma"/>
          <w:bCs/>
          <w:sz w:val="22"/>
          <w:szCs w:val="22"/>
          <w:lang w:eastAsia="en-US"/>
        </w:rPr>
      </w:pPr>
    </w:p>
    <w:p w:rsidR="00BF253C" w:rsidRDefault="00BF253C" w:rsidP="00BF253C">
      <w:pPr>
        <w:spacing w:before="100" w:beforeAutospacing="1" w:after="100" w:afterAutospacing="1"/>
        <w:rPr>
          <w:rFonts w:ascii="Tahoma" w:eastAsiaTheme="minorEastAsia" w:hAnsi="Tahoma" w:cs="Tahoma"/>
          <w:sz w:val="22"/>
          <w:szCs w:val="22"/>
          <w:lang w:eastAsia="en-US"/>
        </w:rPr>
      </w:pPr>
      <w:r w:rsidRPr="00BF253C">
        <w:rPr>
          <w:rFonts w:ascii="Tahoma" w:eastAsiaTheme="minorHAnsi" w:hAnsi="Tahoma" w:cs="Tahoma"/>
          <w:bCs/>
          <w:sz w:val="22"/>
          <w:szCs w:val="22"/>
          <w:lang w:eastAsia="en-US"/>
        </w:rPr>
        <w:t xml:space="preserve">En su exposición ha hecho hincapié en que </w:t>
      </w:r>
      <w:r>
        <w:rPr>
          <w:rFonts w:ascii="Tahoma" w:eastAsiaTheme="minorHAnsi" w:hAnsi="Tahoma" w:cs="Tahoma"/>
          <w:sz w:val="22"/>
          <w:szCs w:val="22"/>
          <w:lang w:eastAsia="en-US"/>
        </w:rPr>
        <w:t>“a</w:t>
      </w:r>
      <w:r w:rsidRPr="00BF253C">
        <w:rPr>
          <w:rFonts w:ascii="Tahoma" w:eastAsiaTheme="minorHAnsi" w:hAnsi="Tahoma" w:cs="Tahoma"/>
          <w:sz w:val="22"/>
          <w:szCs w:val="22"/>
          <w:lang w:eastAsia="en-US"/>
        </w:rPr>
        <w:t>ctualmente, el concepto de conciliación va unido al de corresponsabilidad, pues sabemos que no se deben aplicar medidas de conciliación si no se hace desde un ejercicio “corresponsable”, de manera que se promueva un reparto justo de las tareas y obligaciones domésticas y de</w:t>
      </w:r>
      <w:r>
        <w:rPr>
          <w:rFonts w:ascii="Tahoma" w:eastAsiaTheme="minorHAnsi" w:hAnsi="Tahoma" w:cs="Tahoma"/>
          <w:sz w:val="22"/>
          <w:szCs w:val="22"/>
          <w:lang w:eastAsia="en-US"/>
        </w:rPr>
        <w:t xml:space="preserve"> cuidados en el ámbito privado”, y ha abogado por el teletrabajo bien planteado, “que puede </w:t>
      </w:r>
      <w:r w:rsidRPr="00BF253C">
        <w:rPr>
          <w:rFonts w:ascii="Tahoma" w:eastAsiaTheme="minorEastAsia" w:hAnsi="Tahoma" w:cs="Tahoma"/>
          <w:sz w:val="22"/>
          <w:szCs w:val="22"/>
          <w:lang w:eastAsia="en-US"/>
        </w:rPr>
        <w:t>ser una de las mejores medidas para alcanzar la conciliación personal, laboral y familiar. Más ahora, dadas las novedades legislativas al respecto y la pandemia del Covid-19 que ha ocasionado cambios sin precedentes en la gestió</w:t>
      </w:r>
      <w:r>
        <w:rPr>
          <w:rFonts w:ascii="Tahoma" w:eastAsiaTheme="minorEastAsia" w:hAnsi="Tahoma" w:cs="Tahoma"/>
          <w:sz w:val="22"/>
          <w:szCs w:val="22"/>
          <w:lang w:eastAsia="en-US"/>
        </w:rPr>
        <w:t>n y organización de las empresas”.</w:t>
      </w:r>
    </w:p>
    <w:p w:rsidR="00BF253C" w:rsidRDefault="00E65423" w:rsidP="00BF253C">
      <w:pPr>
        <w:spacing w:before="100" w:beforeAutospacing="1" w:after="100" w:afterAutospacing="1"/>
        <w:rPr>
          <w:rFonts w:ascii="Tahoma" w:eastAsiaTheme="minorHAnsi" w:hAnsi="Tahoma" w:cs="Tahoma"/>
          <w:sz w:val="22"/>
          <w:szCs w:val="22"/>
          <w:lang w:eastAsia="en-US"/>
        </w:rPr>
      </w:pPr>
      <w:r>
        <w:rPr>
          <w:rFonts w:ascii="Tahoma" w:eastAsiaTheme="minorEastAsia" w:hAnsi="Tahoma" w:cs="Tahoma"/>
          <w:sz w:val="22"/>
          <w:szCs w:val="22"/>
          <w:lang w:eastAsia="en-US"/>
        </w:rPr>
        <w:t>Rosario Jimé</w:t>
      </w:r>
      <w:r w:rsidR="00BF253C" w:rsidRPr="00BF253C">
        <w:rPr>
          <w:rFonts w:ascii="Tahoma" w:eastAsiaTheme="minorEastAsia" w:hAnsi="Tahoma" w:cs="Tahoma"/>
          <w:sz w:val="22"/>
          <w:szCs w:val="22"/>
          <w:lang w:eastAsia="en-US"/>
        </w:rPr>
        <w:t xml:space="preserve">nez, desde FEDA, ha dejado claro que “hay </w:t>
      </w:r>
      <w:r w:rsidR="00BF253C" w:rsidRPr="00BF253C">
        <w:rPr>
          <w:rFonts w:ascii="Tahoma" w:eastAsiaTheme="minorHAnsi" w:hAnsi="Tahoma" w:cs="Tahoma"/>
          <w:sz w:val="22"/>
          <w:szCs w:val="22"/>
          <w:lang w:eastAsia="en-US"/>
        </w:rPr>
        <w:t xml:space="preserve">que tener en cuenta </w:t>
      </w:r>
      <w:r w:rsidR="00BF253C" w:rsidRPr="00BF253C">
        <w:rPr>
          <w:rFonts w:ascii="Tahoma" w:eastAsiaTheme="minorHAnsi" w:hAnsi="Tahoma" w:cs="Tahoma"/>
          <w:bCs/>
          <w:sz w:val="22"/>
          <w:szCs w:val="22"/>
          <w:lang w:eastAsia="en-US"/>
        </w:rPr>
        <w:t>fórmulas</w:t>
      </w:r>
      <w:r w:rsidR="00BF253C" w:rsidRPr="00BF253C">
        <w:rPr>
          <w:rFonts w:ascii="Tahoma" w:eastAsiaTheme="minorHAnsi" w:hAnsi="Tahoma" w:cs="Tahoma"/>
          <w:sz w:val="22"/>
          <w:szCs w:val="22"/>
          <w:lang w:eastAsia="en-US"/>
        </w:rPr>
        <w:t xml:space="preserve"> para saber gestionar el teletrabajo, pues es un nuevo reto para la igualdad ya que puede implicar un aumento de la carga del trabajo doméstico y de cuidados para las mujeres, implicando un desarrollo de la doble o triple jornada (laboral doméstica y de cuidados)</w:t>
      </w:r>
      <w:r w:rsidR="00BF253C">
        <w:rPr>
          <w:rFonts w:ascii="Tahoma" w:eastAsiaTheme="minorHAnsi" w:hAnsi="Tahoma" w:cs="Tahoma"/>
          <w:sz w:val="22"/>
          <w:szCs w:val="22"/>
          <w:lang w:eastAsia="en-US"/>
        </w:rPr>
        <w:t>”.</w:t>
      </w:r>
    </w:p>
    <w:p w:rsidR="00BF253C" w:rsidRPr="00C240AA" w:rsidRDefault="00A56289" w:rsidP="00BF253C">
      <w:pPr>
        <w:spacing w:before="100" w:beforeAutospacing="1" w:after="100" w:afterAutospacing="1"/>
        <w:rPr>
          <w:rFonts w:ascii="Tahoma" w:eastAsiaTheme="minorHAnsi" w:hAnsi="Tahoma" w:cs="Tahoma"/>
          <w:bCs/>
          <w:caps/>
          <w:sz w:val="22"/>
          <w:szCs w:val="22"/>
          <w:lang w:eastAsia="en-US"/>
        </w:rPr>
      </w:pPr>
      <w:r>
        <w:rPr>
          <w:rFonts w:ascii="Tahoma" w:eastAsiaTheme="minorHAnsi" w:hAnsi="Tahoma" w:cs="Tahoma"/>
          <w:sz w:val="22"/>
          <w:szCs w:val="22"/>
          <w:lang w:eastAsia="en-US"/>
        </w:rPr>
        <w:t>En el desarrollo de la jornada</w:t>
      </w:r>
      <w:r w:rsidR="00DC1ED5">
        <w:rPr>
          <w:rFonts w:ascii="Tahoma" w:eastAsiaTheme="minorHAnsi" w:hAnsi="Tahoma" w:cs="Tahoma"/>
          <w:sz w:val="22"/>
          <w:szCs w:val="22"/>
          <w:lang w:eastAsia="en-US"/>
        </w:rPr>
        <w:t>, la regulación jurídica y laboral del teletra</w:t>
      </w:r>
      <w:r w:rsidR="00C240AA">
        <w:rPr>
          <w:rFonts w:ascii="Tahoma" w:eastAsiaTheme="minorHAnsi" w:hAnsi="Tahoma" w:cs="Tahoma"/>
          <w:sz w:val="22"/>
          <w:szCs w:val="22"/>
          <w:lang w:eastAsia="en-US"/>
        </w:rPr>
        <w:t>bajo ha sido expuesta desde la Facultad de Relaciones Laborales y Recursos Humanos de Albacete</w:t>
      </w:r>
      <w:r w:rsidR="00E65423">
        <w:rPr>
          <w:rFonts w:ascii="Tahoma" w:eastAsiaTheme="minorHAnsi" w:hAnsi="Tahoma" w:cs="Tahoma"/>
          <w:sz w:val="22"/>
          <w:szCs w:val="22"/>
          <w:lang w:eastAsia="en-US"/>
        </w:rPr>
        <w:t xml:space="preserve"> de la </w:t>
      </w:r>
      <w:hyperlink r:id="rId14" w:history="1">
        <w:r w:rsidR="00E65423" w:rsidRPr="00E65423">
          <w:rPr>
            <w:rStyle w:val="Hipervnculo"/>
            <w:rFonts w:ascii="Tahoma" w:eastAsiaTheme="minorHAnsi" w:hAnsi="Tahoma" w:cs="Tahoma"/>
            <w:sz w:val="22"/>
            <w:szCs w:val="22"/>
            <w:lang w:eastAsia="en-US"/>
          </w:rPr>
          <w:t>Universidad Castilla-La Mancha</w:t>
        </w:r>
      </w:hyperlink>
      <w:bookmarkStart w:id="0" w:name="_GoBack"/>
      <w:bookmarkEnd w:id="0"/>
      <w:r w:rsidR="00C240AA">
        <w:rPr>
          <w:rFonts w:ascii="Tahoma" w:eastAsiaTheme="minorHAnsi" w:hAnsi="Tahoma" w:cs="Tahoma"/>
          <w:sz w:val="22"/>
          <w:szCs w:val="22"/>
          <w:lang w:eastAsia="en-US"/>
        </w:rPr>
        <w:t xml:space="preserve">; las soluciones tecnológicas y organizativas para un teletrabajo eficiente han corrido a cargo del </w:t>
      </w:r>
      <w:hyperlink r:id="rId15" w:history="1">
        <w:r w:rsidR="00C240AA" w:rsidRPr="00E65423">
          <w:rPr>
            <w:rStyle w:val="Hipervnculo"/>
            <w:rFonts w:ascii="Tahoma" w:eastAsiaTheme="minorHAnsi" w:hAnsi="Tahoma" w:cs="Tahoma"/>
            <w:sz w:val="22"/>
            <w:szCs w:val="22"/>
            <w:lang w:eastAsia="en-US"/>
          </w:rPr>
          <w:t>Grupo Tecon</w:t>
        </w:r>
      </w:hyperlink>
      <w:r w:rsidR="00C240AA">
        <w:rPr>
          <w:rFonts w:ascii="Tahoma" w:eastAsiaTheme="minorHAnsi" w:hAnsi="Tahoma" w:cs="Tahoma"/>
          <w:sz w:val="22"/>
          <w:szCs w:val="22"/>
          <w:lang w:eastAsia="en-US"/>
        </w:rPr>
        <w:t xml:space="preserve"> y desde CCOO se han expuesto las nuevas realidades de trabajo para las mujeres tras la Covid-19. Se ha terminado con una mesa redonda sobre conciliación responsable, moderada por Concilia2, con la Fundación Alares, con Arhoe (racionalización de los horarios) y la Fundación MásFamilia.</w:t>
      </w:r>
    </w:p>
    <w:p w:rsidR="00BF253C" w:rsidRDefault="00BF253C" w:rsidP="00BF253C">
      <w:pPr>
        <w:spacing w:before="100" w:beforeAutospacing="1" w:after="100" w:afterAutospacing="1"/>
        <w:ind w:left="-426"/>
        <w:rPr>
          <w:rFonts w:ascii="Tahoma" w:eastAsiaTheme="minorEastAsia" w:hAnsi="Tahoma" w:cs="Tahoma"/>
          <w:sz w:val="22"/>
          <w:szCs w:val="22"/>
          <w:lang w:eastAsia="en-US"/>
        </w:rPr>
      </w:pPr>
    </w:p>
    <w:p w:rsidR="00BF253C" w:rsidRPr="00BF253C" w:rsidRDefault="00BF253C" w:rsidP="00BF253C">
      <w:pPr>
        <w:spacing w:before="100" w:beforeAutospacing="1" w:after="100" w:afterAutospacing="1"/>
        <w:ind w:left="-426"/>
        <w:rPr>
          <w:rFonts w:ascii="Tahoma" w:eastAsiaTheme="minorEastAsia" w:hAnsi="Tahoma" w:cs="Tahoma"/>
          <w:b/>
          <w:bCs/>
          <w:caps/>
          <w:sz w:val="22"/>
          <w:szCs w:val="22"/>
          <w:lang w:eastAsia="en-US"/>
        </w:rPr>
      </w:pPr>
    </w:p>
    <w:p w:rsidR="00BF253C" w:rsidRPr="00BF253C" w:rsidRDefault="00BF253C" w:rsidP="00BF253C">
      <w:pPr>
        <w:ind w:left="-426"/>
        <w:rPr>
          <w:rFonts w:ascii="Tahoma" w:eastAsiaTheme="minorHAnsi" w:hAnsi="Tahoma" w:cs="Tahoma"/>
          <w:b/>
          <w:bCs/>
          <w:sz w:val="22"/>
          <w:szCs w:val="22"/>
          <w:lang w:eastAsia="en-US"/>
        </w:rPr>
      </w:pPr>
    </w:p>
    <w:p w:rsidR="00A75503" w:rsidRPr="00A75503" w:rsidRDefault="00A75503" w:rsidP="00A75503">
      <w:pPr>
        <w:autoSpaceDE w:val="0"/>
        <w:autoSpaceDN w:val="0"/>
        <w:adjustRightInd w:val="0"/>
        <w:spacing w:after="34" w:line="259" w:lineRule="auto"/>
        <w:contextualSpacing/>
        <w:jc w:val="left"/>
        <w:rPr>
          <w:rFonts w:ascii="Tahoma" w:eastAsiaTheme="minorEastAsia" w:hAnsi="Tahoma" w:cs="Tahoma"/>
          <w:color w:val="000000" w:themeColor="text1"/>
          <w:kern w:val="22"/>
          <w:sz w:val="22"/>
          <w:szCs w:val="22"/>
          <w:lang w:val="es-ES" w:eastAsia="ja-JP"/>
          <w14:ligatures w14:val="standard"/>
        </w:rPr>
      </w:pPr>
    </w:p>
    <w:p w:rsidR="00A75503" w:rsidRPr="00A75503" w:rsidRDefault="00A75503" w:rsidP="008629BB">
      <w:pPr>
        <w:rPr>
          <w:rFonts w:ascii="Tahoma" w:hAnsi="Tahoma" w:cs="Tahoma"/>
          <w:bCs/>
          <w:szCs w:val="24"/>
        </w:rPr>
      </w:pPr>
    </w:p>
    <w:p w:rsidR="00FE1F53" w:rsidRDefault="00FE1F53" w:rsidP="0082053F">
      <w:pPr>
        <w:jc w:val="right"/>
        <w:rPr>
          <w:rFonts w:ascii="Tahoma" w:hAnsi="Tahoma" w:cs="Tahoma"/>
          <w:bCs/>
          <w:sz w:val="22"/>
          <w:szCs w:val="22"/>
        </w:rPr>
      </w:pPr>
    </w:p>
    <w:p w:rsidR="00C84DCB" w:rsidRDefault="00C84DCB" w:rsidP="00C84DCB">
      <w:pPr>
        <w:jc w:val="center"/>
        <w:rPr>
          <w:rFonts w:ascii="Tahoma" w:hAnsi="Tahoma" w:cs="Tahoma"/>
          <w:b/>
          <w:bCs/>
          <w:sz w:val="32"/>
          <w:szCs w:val="32"/>
        </w:rPr>
      </w:pPr>
    </w:p>
    <w:p w:rsidR="00C84DCB" w:rsidRDefault="00C84DCB" w:rsidP="00C84DCB">
      <w:pPr>
        <w:jc w:val="center"/>
        <w:rPr>
          <w:rFonts w:ascii="Tahoma" w:hAnsi="Tahoma" w:cs="Tahoma"/>
          <w:b/>
          <w:bCs/>
          <w:sz w:val="32"/>
          <w:szCs w:val="32"/>
        </w:rPr>
      </w:pPr>
    </w:p>
    <w:p w:rsidR="00C84DCB" w:rsidRDefault="00C84DCB" w:rsidP="0082053F">
      <w:pPr>
        <w:jc w:val="right"/>
        <w:rPr>
          <w:rFonts w:ascii="Tahoma" w:hAnsi="Tahoma" w:cs="Tahoma"/>
          <w:bCs/>
          <w:sz w:val="22"/>
          <w:szCs w:val="22"/>
        </w:rPr>
      </w:pPr>
    </w:p>
    <w:sectPr w:rsidR="00C84DCB" w:rsidSect="000D4D85">
      <w:headerReference w:type="default" r:id="rId16"/>
      <w:footerReference w:type="even" r:id="rId17"/>
      <w:footerReference w:type="default" r:id="rId18"/>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E65423">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E65423"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E65423"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E6542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E6542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E65423"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E6542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6823C1F"/>
    <w:multiLevelType w:val="hybridMultilevel"/>
    <w:tmpl w:val="F03CE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F1A4737"/>
    <w:multiLevelType w:val="hybridMultilevel"/>
    <w:tmpl w:val="C284FE7E"/>
    <w:lvl w:ilvl="0" w:tplc="F0F0CA0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EC67DC3"/>
    <w:multiLevelType w:val="hybridMultilevel"/>
    <w:tmpl w:val="02CC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C4B1CBE"/>
    <w:multiLevelType w:val="hybridMultilevel"/>
    <w:tmpl w:val="E6CEE976"/>
    <w:lvl w:ilvl="0" w:tplc="571EB6AA">
      <w:start w:val="2"/>
      <w:numFmt w:val="bullet"/>
      <w:lvlText w:val="-"/>
      <w:lvlJc w:val="left"/>
      <w:pPr>
        <w:ind w:left="435" w:hanging="360"/>
      </w:pPr>
      <w:rPr>
        <w:rFonts w:ascii="Tahoma" w:eastAsia="Calibri" w:hAnsi="Tahoma" w:cs="Tahoma"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24"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5" w15:restartNumberingAfterBreak="0">
    <w:nsid w:val="54D12740"/>
    <w:multiLevelType w:val="hybridMultilevel"/>
    <w:tmpl w:val="0BFE6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4CA7713"/>
    <w:multiLevelType w:val="hybridMultilevel"/>
    <w:tmpl w:val="B14660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0"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2D116B6"/>
    <w:multiLevelType w:val="hybridMultilevel"/>
    <w:tmpl w:val="09263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29"/>
  </w:num>
  <w:num w:numId="2">
    <w:abstractNumId w:val="6"/>
  </w:num>
  <w:num w:numId="3">
    <w:abstractNumId w:val="2"/>
  </w:num>
  <w:num w:numId="4">
    <w:abstractNumId w:val="1"/>
  </w:num>
  <w:num w:numId="5">
    <w:abstractNumId w:val="0"/>
  </w:num>
  <w:num w:numId="6">
    <w:abstractNumId w:val="14"/>
  </w:num>
  <w:num w:numId="7">
    <w:abstractNumId w:val="8"/>
  </w:num>
  <w:num w:numId="8">
    <w:abstractNumId w:val="31"/>
  </w:num>
  <w:num w:numId="9">
    <w:abstractNumId w:val="33"/>
  </w:num>
  <w:num w:numId="10">
    <w:abstractNumId w:val="26"/>
  </w:num>
  <w:num w:numId="11">
    <w:abstractNumId w:val="15"/>
  </w:num>
  <w:num w:numId="12">
    <w:abstractNumId w:val="10"/>
  </w:num>
  <w:num w:numId="13">
    <w:abstractNumId w:val="34"/>
  </w:num>
  <w:num w:numId="14">
    <w:abstractNumId w:val="30"/>
  </w:num>
  <w:num w:numId="15">
    <w:abstractNumId w:val="12"/>
  </w:num>
  <w:num w:numId="16">
    <w:abstractNumId w:val="24"/>
  </w:num>
  <w:num w:numId="17">
    <w:abstractNumId w:val="16"/>
  </w:num>
  <w:num w:numId="18">
    <w:abstractNumId w:val="20"/>
  </w:num>
  <w:num w:numId="19">
    <w:abstractNumId w:val="28"/>
  </w:num>
  <w:num w:numId="20">
    <w:abstractNumId w:val="21"/>
  </w:num>
  <w:num w:numId="21">
    <w:abstractNumId w:val="22"/>
  </w:num>
  <w:num w:numId="22">
    <w:abstractNumId w:val="9"/>
  </w:num>
  <w:num w:numId="23">
    <w:abstractNumId w:val="19"/>
  </w:num>
  <w:num w:numId="24">
    <w:abstractNumId w:val="18"/>
  </w:num>
  <w:num w:numId="25">
    <w:abstractNumId w:val="17"/>
  </w:num>
  <w:num w:numId="26">
    <w:abstractNumId w:val="35"/>
  </w:num>
  <w:num w:numId="27">
    <w:abstractNumId w:val="13"/>
  </w:num>
  <w:num w:numId="28">
    <w:abstractNumId w:val="7"/>
  </w:num>
  <w:num w:numId="29">
    <w:abstractNumId w:val="25"/>
  </w:num>
  <w:num w:numId="30">
    <w:abstractNumId w:val="23"/>
  </w:num>
  <w:num w:numId="31">
    <w:abstractNumId w:val="27"/>
  </w:num>
  <w:num w:numId="32">
    <w:abstractNumId w:val="32"/>
  </w:num>
  <w:num w:numId="33">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44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15A"/>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3515"/>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1907"/>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5423"/>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44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opialbacete.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cilia2.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tes.gob.es/" TargetMode="External"/><Relationship Id="rId5" Type="http://schemas.openxmlformats.org/officeDocument/2006/relationships/webSettings" Target="webSettings.xml"/><Relationship Id="rId15" Type="http://schemas.openxmlformats.org/officeDocument/2006/relationships/hyperlink" Target="https://www.tecon.es/" TargetMode="External"/><Relationship Id="rId10" Type="http://schemas.openxmlformats.org/officeDocument/2006/relationships/hyperlink" Target="https://www.castillalamancha.es/gobierno/desarrollosostenible/estructura/dgtranene/directori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ecam.es/" TargetMode="External"/><Relationship Id="rId14" Type="http://schemas.openxmlformats.org/officeDocument/2006/relationships/hyperlink" Target="https://www.uclm.es/"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330DC-2CE1-4E18-86CB-519CAEF49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716</Words>
  <Characters>4350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5056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2021-09-15T09:29:00Z</dcterms:created>
  <dcterms:modified xsi:type="dcterms:W3CDTF">2021-09-15T09:49:00Z</dcterms:modified>
</cp:coreProperties>
</file>