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2053F" w:rsidRDefault="0082053F" w:rsidP="0082053F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F96019">
        <w:rPr>
          <w:rFonts w:ascii="Tahoma" w:hAnsi="Tahoma" w:cs="Tahoma"/>
          <w:bCs/>
          <w:sz w:val="22"/>
          <w:szCs w:val="22"/>
        </w:rPr>
        <w:t>20</w:t>
      </w:r>
      <w:r w:rsidR="008629BB">
        <w:rPr>
          <w:rFonts w:ascii="Tahoma" w:hAnsi="Tahoma" w:cs="Tahoma"/>
          <w:bCs/>
          <w:sz w:val="22"/>
          <w:szCs w:val="22"/>
        </w:rPr>
        <w:t xml:space="preserve"> de septiembre</w:t>
      </w:r>
      <w:r>
        <w:rPr>
          <w:rFonts w:ascii="Tahoma" w:hAnsi="Tahoma" w:cs="Tahoma"/>
          <w:bCs/>
          <w:sz w:val="22"/>
          <w:szCs w:val="22"/>
        </w:rPr>
        <w:t xml:space="preserve"> de 2021</w:t>
      </w:r>
    </w:p>
    <w:p w:rsidR="004D6CBA" w:rsidRDefault="004D6CBA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4D6CBA" w:rsidRDefault="004D6CBA" w:rsidP="004D6CBA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FEDA lanza el itinerario formativo Europa+Cerca 2021</w:t>
      </w:r>
      <w:r w:rsidR="00893EB7">
        <w:rPr>
          <w:rFonts w:ascii="Tahoma" w:hAnsi="Tahoma" w:cs="Tahoma"/>
          <w:b/>
          <w:bCs/>
          <w:sz w:val="32"/>
          <w:szCs w:val="32"/>
        </w:rPr>
        <w:t xml:space="preserve"> para acercar </w:t>
      </w:r>
      <w:r>
        <w:rPr>
          <w:rFonts w:ascii="Tahoma" w:hAnsi="Tahoma" w:cs="Tahoma"/>
          <w:b/>
          <w:bCs/>
          <w:sz w:val="32"/>
          <w:szCs w:val="32"/>
        </w:rPr>
        <w:t>la financiación europea a empresas en I+D+i</w:t>
      </w:r>
    </w:p>
    <w:p w:rsidR="004D6CBA" w:rsidRDefault="004D6CBA" w:rsidP="004D6CBA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4D6CBA" w:rsidRPr="00A10803" w:rsidRDefault="004D6CBA" w:rsidP="00A10803">
      <w:pPr>
        <w:pStyle w:val="Prrafodelista"/>
        <w:numPr>
          <w:ilvl w:val="0"/>
          <w:numId w:val="37"/>
        </w:numPr>
        <w:spacing w:after="160" w:line="240" w:lineRule="auto"/>
        <w:jc w:val="center"/>
        <w:rPr>
          <w:rFonts w:ascii="Tahoma" w:hAnsi="Tahoma" w:cs="Tahoma"/>
        </w:rPr>
      </w:pPr>
      <w:r w:rsidRPr="00A10803">
        <w:rPr>
          <w:rFonts w:ascii="Tahoma" w:hAnsi="Tahoma" w:cs="Tahoma"/>
          <w:b/>
          <w:bCs/>
          <w:szCs w:val="24"/>
        </w:rPr>
        <w:t xml:space="preserve">Dentro del Programa Horizonte Europa de la UE, </w:t>
      </w:r>
      <w:r w:rsidRPr="00A10803">
        <w:rPr>
          <w:rFonts w:ascii="Tahoma" w:hAnsi="Tahoma" w:cs="Tahoma"/>
          <w:b/>
          <w:shd w:val="clear" w:color="auto" w:fill="FFFFFF"/>
        </w:rPr>
        <w:t xml:space="preserve">Programa Marco de Investigación e Innovación para el período 2021-2027, y como parte </w:t>
      </w:r>
      <w:r w:rsidR="00A10803">
        <w:rPr>
          <w:rFonts w:ascii="Tahoma" w:hAnsi="Tahoma" w:cs="Tahoma"/>
          <w:b/>
          <w:shd w:val="clear" w:color="auto" w:fill="FFFFFF"/>
        </w:rPr>
        <w:t>de la Enterprise Europe Network</w:t>
      </w:r>
    </w:p>
    <w:p w:rsidR="004D6CBA" w:rsidRDefault="004D6CBA" w:rsidP="004D6CBA">
      <w:pPr>
        <w:spacing w:after="160"/>
        <w:rPr>
          <w:rFonts w:ascii="Tahoma" w:hAnsi="Tahoma" w:cs="Tahoma"/>
          <w:sz w:val="22"/>
          <w:szCs w:val="22"/>
          <w:lang w:val="es-ES" w:eastAsia="en-US"/>
        </w:rPr>
      </w:pPr>
    </w:p>
    <w:p w:rsidR="00F96019" w:rsidRPr="00F96019" w:rsidRDefault="00F96019" w:rsidP="004D6CBA">
      <w:pPr>
        <w:spacing w:after="160"/>
        <w:rPr>
          <w:rFonts w:ascii="Tahoma" w:eastAsiaTheme="minorHAnsi" w:hAnsi="Tahoma" w:cs="Tahoma"/>
          <w:b/>
          <w:color w:val="0563C1" w:themeColor="hyperlink"/>
          <w:sz w:val="22"/>
          <w:szCs w:val="22"/>
          <w:u w:val="single"/>
          <w:lang w:val="es-ES" w:eastAsia="en-US"/>
        </w:rPr>
      </w:pP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FEDA, </w:t>
      </w:r>
      <w:r w:rsidR="004D6CBA">
        <w:rPr>
          <w:rFonts w:ascii="Tahoma" w:hAnsi="Tahoma" w:cs="Tahoma"/>
          <w:sz w:val="22"/>
          <w:szCs w:val="22"/>
          <w:lang w:val="es-ES" w:eastAsia="en-US"/>
        </w:rPr>
        <w:t xml:space="preserve">desde su </w:t>
      </w:r>
      <w:hyperlink r:id="rId8" w:history="1">
        <w:r w:rsidR="004D6CBA" w:rsidRPr="004D6CBA">
          <w:rPr>
            <w:rStyle w:val="Hipervnculo"/>
            <w:rFonts w:ascii="Tahoma" w:hAnsi="Tahoma" w:cs="Tahoma"/>
            <w:sz w:val="22"/>
            <w:szCs w:val="22"/>
            <w:lang w:val="es-ES" w:eastAsia="en-US"/>
          </w:rPr>
          <w:t>Área Internacional</w:t>
        </w:r>
      </w:hyperlink>
      <w:r w:rsidR="004D6CBA">
        <w:rPr>
          <w:rFonts w:ascii="Tahoma" w:hAnsi="Tahoma" w:cs="Tahoma"/>
          <w:sz w:val="22"/>
          <w:szCs w:val="22"/>
          <w:lang w:val="es-ES" w:eastAsia="en-US"/>
        </w:rPr>
        <w:t xml:space="preserve">, </w:t>
      </w: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como parte activa desde 2008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del consorcio </w:t>
      </w:r>
      <w:hyperlink r:id="rId9" w:history="1">
        <w:r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ACTIS</w:t>
        </w:r>
      </w:hyperlink>
      <w:r w:rsidRPr="00F96019">
        <w:rPr>
          <w:rFonts w:ascii="Tahoma" w:eastAsiaTheme="minorHAnsi" w:hAnsi="Tahoma" w:cs="Tahoma"/>
          <w:b/>
          <w:color w:val="0563C1" w:themeColor="hyperlink"/>
          <w:sz w:val="22"/>
          <w:szCs w:val="22"/>
          <w:u w:val="single"/>
          <w:lang w:val="es-ES" w:eastAsia="en-US"/>
        </w:rPr>
        <w:t>,</w:t>
      </w:r>
      <w:r w:rsidRPr="00F96019">
        <w:rPr>
          <w:rFonts w:ascii="Tahoma" w:eastAsiaTheme="minorHAnsi" w:hAnsi="Tahoma" w:cs="Tahoma"/>
          <w:b/>
          <w:color w:val="0563C1" w:themeColor="hyperlink"/>
          <w:sz w:val="22"/>
          <w:szCs w:val="22"/>
          <w:lang w:val="es-ES" w:eastAsia="en-US"/>
        </w:rPr>
        <w:t xml:space="preserve">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que desarrollan las actividades de la</w:t>
      </w:r>
      <w:r w:rsidRPr="00F96019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10" w:history="1">
        <w:r w:rsidRPr="00F96019">
          <w:rPr>
            <w:rFonts w:ascii="Tahoma" w:eastAsiaTheme="minorHAnsi" w:hAnsi="Tahoma" w:cs="Tahoma"/>
            <w:b/>
            <w:color w:val="2E74B5" w:themeColor="accent1" w:themeShade="BF"/>
            <w:sz w:val="22"/>
            <w:szCs w:val="22"/>
            <w:u w:val="single"/>
            <w:lang w:val="es-ES" w:eastAsia="en-US"/>
          </w:rPr>
          <w:t>Enterprise Europe Network</w:t>
        </w:r>
      </w:hyperlink>
      <w:r w:rsidRPr="00F96019">
        <w:rPr>
          <w:rFonts w:ascii="Tahoma" w:eastAsiaTheme="minorHAnsi" w:hAnsi="Tahoma" w:cs="Tahoma"/>
          <w:color w:val="2E74B5" w:themeColor="accent1" w:themeShade="BF"/>
          <w:sz w:val="22"/>
          <w:szCs w:val="22"/>
          <w:lang w:val="es-ES" w:eastAsia="en-US"/>
        </w:rPr>
        <w:t xml:space="preserve"> </w:t>
      </w:r>
      <w:r w:rsidRPr="00F96019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en </w:t>
      </w:r>
      <w:hyperlink r:id="rId11" w:history="1">
        <w:r w:rsidRPr="00F96019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Castilla-La Mancha</w:t>
        </w:r>
      </w:hyperlink>
      <w:r w:rsidRPr="00F96019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,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Aragón, Extremadura, Navarra y La Rioja, pone en marcha para las empresas de Albacete y provincia el itinerario formativo </w:t>
      </w:r>
      <w:hyperlink r:id="rId12" w:history="1">
        <w:r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E</w:t>
        </w:r>
        <w:r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uropa+Cerca 2021</w:t>
        </w:r>
      </w:hyperlink>
      <w:r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.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Este ciclo formativo tiene como objetivo facilitar y fomentar la participación de empresas y de entidades de la región en proyectos europeos, especialmente del programa</w:t>
      </w:r>
      <w:r w:rsidRPr="00F96019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13" w:history="1">
        <w:r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Horizonte Europa.</w:t>
        </w:r>
      </w:hyperlink>
    </w:p>
    <w:p w:rsidR="00F96019" w:rsidRDefault="00F96019" w:rsidP="00F96019">
      <w:pPr>
        <w:spacing w:after="160" w:line="259" w:lineRule="auto"/>
        <w:rPr>
          <w:rFonts w:ascii="Tahoma" w:hAnsi="Tahoma" w:cs="Tahoma"/>
          <w:sz w:val="22"/>
          <w:szCs w:val="22"/>
          <w:lang w:val="es-ES" w:eastAsia="en-US"/>
        </w:rPr>
      </w:pPr>
      <w:r w:rsidRPr="00F96019">
        <w:rPr>
          <w:rFonts w:ascii="Tahoma" w:hAnsi="Tahoma" w:cs="Tahoma"/>
          <w:sz w:val="22"/>
          <w:szCs w:val="22"/>
          <w:lang w:val="es-ES" w:eastAsia="en-US"/>
        </w:rPr>
        <w:t>Para</w:t>
      </w:r>
      <w:r w:rsidRPr="00F96019">
        <w:rPr>
          <w:rFonts w:ascii="Tahoma" w:hAnsi="Tahoma" w:cs="Tahoma"/>
          <w:color w:val="003366"/>
          <w:sz w:val="22"/>
          <w:szCs w:val="22"/>
          <w:lang w:val="es-ES" w:eastAsia="en-US"/>
        </w:rPr>
        <w:t xml:space="preserve">  </w:t>
      </w:r>
      <w:hyperlink r:id="rId14" w:history="1">
        <w:r w:rsidRPr="00F96019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FEDA</w:t>
        </w:r>
      </w:hyperlink>
      <w:r>
        <w:rPr>
          <w:rFonts w:ascii="Tahoma" w:hAnsi="Tahoma" w:cs="Tahoma"/>
          <w:color w:val="003366"/>
          <w:sz w:val="22"/>
          <w:szCs w:val="22"/>
          <w:lang w:val="es-ES" w:eastAsia="en-US"/>
        </w:rPr>
        <w:t xml:space="preserve">, </w:t>
      </w: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la formación y el asesoramiento </w:t>
      </w:r>
      <w:r>
        <w:rPr>
          <w:rFonts w:ascii="Tahoma" w:hAnsi="Tahoma" w:cs="Tahoma"/>
          <w:sz w:val="22"/>
          <w:szCs w:val="22"/>
          <w:lang w:val="es-ES" w:eastAsia="en-US"/>
        </w:rPr>
        <w:t>es un pilar fundamental en general y en particular en la internacionalización de las empresas:</w:t>
      </w:r>
    </w:p>
    <w:p w:rsidR="00F96019" w:rsidRPr="00F96019" w:rsidRDefault="00F96019" w:rsidP="00F96019">
      <w:pPr>
        <w:pStyle w:val="Prrafodelista"/>
        <w:numPr>
          <w:ilvl w:val="3"/>
          <w:numId w:val="35"/>
        </w:numPr>
        <w:spacing w:after="160" w:line="259" w:lineRule="auto"/>
        <w:ind w:left="284" w:hanging="284"/>
        <w:rPr>
          <w:rFonts w:ascii="Tahoma" w:eastAsiaTheme="minorHAnsi" w:hAnsi="Tahoma" w:cs="Tahoma"/>
        </w:rPr>
      </w:pPr>
      <w:r>
        <w:rPr>
          <w:rFonts w:ascii="Tahoma" w:eastAsiaTheme="minorHAnsi" w:hAnsi="Tahoma" w:cs="Tahoma"/>
        </w:rPr>
        <w:t>1987, FEDA fue</w:t>
      </w:r>
      <w:r w:rsidRPr="00F96019">
        <w:rPr>
          <w:rFonts w:ascii="Tahoma" w:eastAsiaTheme="minorHAnsi" w:hAnsi="Tahoma" w:cs="Tahoma"/>
        </w:rPr>
        <w:t xml:space="preserve"> uno de los más de 250 Euro Info Centros de Europa.</w:t>
      </w:r>
    </w:p>
    <w:p w:rsidR="00F96019" w:rsidRPr="00F96019" w:rsidRDefault="00F96019" w:rsidP="00F96019">
      <w:pPr>
        <w:numPr>
          <w:ilvl w:val="0"/>
          <w:numId w:val="35"/>
        </w:numPr>
        <w:spacing w:after="160" w:line="259" w:lineRule="auto"/>
        <w:ind w:left="284" w:hanging="284"/>
        <w:contextualSpacing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2008 (y hasta hoy)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forma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parte de la Red Europea de Empresas (Enterprise Europe Network)</w:t>
      </w:r>
    </w:p>
    <w:p w:rsidR="00F96019" w:rsidRPr="00F96019" w:rsidRDefault="00F96019" w:rsidP="00F96019">
      <w:pPr>
        <w:numPr>
          <w:ilvl w:val="0"/>
          <w:numId w:val="35"/>
        </w:numPr>
        <w:spacing w:after="160" w:line="259" w:lineRule="auto"/>
        <w:ind w:left="284" w:hanging="284"/>
        <w:contextualSpacing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2011 a 2015, cinco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años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de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ciclos enfocados puramente al comercio exterior.</w:t>
      </w:r>
    </w:p>
    <w:p w:rsidR="00F96019" w:rsidRPr="00F96019" w:rsidRDefault="00F96019" w:rsidP="00F96019">
      <w:pPr>
        <w:numPr>
          <w:ilvl w:val="0"/>
          <w:numId w:val="35"/>
        </w:numPr>
        <w:spacing w:after="160" w:line="259" w:lineRule="auto"/>
        <w:ind w:left="284" w:hanging="284"/>
        <w:contextualSpacing/>
        <w:jc w:val="left"/>
        <w:rPr>
          <w:rFonts w:ascii="Tahoma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2016 a 2018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, se dio un salto: tres 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del Ciclo de Innovación e Internacionalización.</w:t>
      </w:r>
    </w:p>
    <w:p w:rsidR="00F96019" w:rsidRPr="00F96019" w:rsidRDefault="00F96019" w:rsidP="00F96019">
      <w:pPr>
        <w:spacing w:after="160" w:line="259" w:lineRule="auto"/>
        <w:ind w:left="284"/>
        <w:contextualSpacing/>
        <w:jc w:val="left"/>
        <w:rPr>
          <w:rFonts w:ascii="Tahoma" w:hAnsi="Tahoma" w:cs="Tahoma"/>
          <w:sz w:val="22"/>
          <w:szCs w:val="22"/>
          <w:lang w:val="es-ES" w:eastAsia="en-US"/>
        </w:rPr>
      </w:pPr>
    </w:p>
    <w:p w:rsidR="00F96019" w:rsidRPr="00F96019" w:rsidRDefault="00F96019" w:rsidP="00F96019">
      <w:pPr>
        <w:spacing w:after="160" w:line="259" w:lineRule="auto"/>
        <w:rPr>
          <w:rFonts w:ascii="Tahoma" w:hAnsi="Tahoma" w:cs="Tahoma"/>
          <w:sz w:val="22"/>
          <w:szCs w:val="22"/>
          <w:lang w:val="es-ES" w:eastAsia="en-US"/>
        </w:rPr>
      </w:pP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Con el tiempo, </w:t>
      </w:r>
      <w:r>
        <w:rPr>
          <w:rFonts w:ascii="Tahoma" w:hAnsi="Tahoma" w:cs="Tahoma"/>
          <w:sz w:val="22"/>
          <w:szCs w:val="22"/>
          <w:lang w:val="es-ES" w:eastAsia="en-US"/>
        </w:rPr>
        <w:t xml:space="preserve">la formación de FEDA en </w:t>
      </w: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el área internacional y de innovación, </w:t>
      </w:r>
      <w:r>
        <w:rPr>
          <w:rFonts w:ascii="Tahoma" w:hAnsi="Tahoma" w:cs="Tahoma"/>
          <w:sz w:val="22"/>
          <w:szCs w:val="22"/>
          <w:lang w:val="es-ES" w:eastAsia="en-US"/>
        </w:rPr>
        <w:t xml:space="preserve">ha </w:t>
      </w: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permitido trabajar desde cerca con </w:t>
      </w:r>
      <w:r>
        <w:rPr>
          <w:rFonts w:ascii="Tahoma" w:hAnsi="Tahoma" w:cs="Tahoma"/>
          <w:sz w:val="22"/>
          <w:szCs w:val="22"/>
          <w:lang w:val="es-ES" w:eastAsia="en-US"/>
        </w:rPr>
        <w:t xml:space="preserve">las </w:t>
      </w: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empresas, </w:t>
      </w:r>
      <w:r>
        <w:rPr>
          <w:rFonts w:ascii="Tahoma" w:hAnsi="Tahoma" w:cs="Tahoma"/>
          <w:sz w:val="22"/>
          <w:szCs w:val="22"/>
          <w:lang w:val="es-ES" w:eastAsia="en-US"/>
        </w:rPr>
        <w:t>y se ha comprobado que</w:t>
      </w:r>
      <w:r w:rsidRPr="00F96019">
        <w:rPr>
          <w:rFonts w:ascii="Tahoma" w:hAnsi="Tahoma" w:cs="Tahoma"/>
          <w:sz w:val="22"/>
          <w:szCs w:val="22"/>
          <w:lang w:val="es-ES" w:eastAsia="en-US"/>
        </w:rPr>
        <w:t xml:space="preserve"> los foros especializados de intercambio de experiencias suelen aportar valor a las empresas.</w:t>
      </w:r>
    </w:p>
    <w:p w:rsidR="00F96019" w:rsidRPr="00F96019" w:rsidRDefault="00F96019" w:rsidP="00F96019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b/>
          <w:sz w:val="22"/>
          <w:szCs w:val="22"/>
          <w:lang w:val="es-ES" w:eastAsia="en-US"/>
        </w:rPr>
        <w:t>El programa Horizonte Europa</w:t>
      </w:r>
    </w:p>
    <w:p w:rsidR="00F96019" w:rsidRPr="00F96019" w:rsidRDefault="00A10803" w:rsidP="00F96019">
      <w:pPr>
        <w:spacing w:after="160" w:line="259" w:lineRule="auto"/>
        <w:rPr>
          <w:rFonts w:ascii="Tahoma" w:hAnsi="Tahoma" w:cs="Tahoma"/>
          <w:color w:val="002060"/>
          <w:sz w:val="22"/>
          <w:szCs w:val="22"/>
          <w:shd w:val="clear" w:color="auto" w:fill="FFFFFF"/>
          <w:lang w:val="es-ES" w:eastAsia="en-US"/>
        </w:rPr>
      </w:pPr>
      <w:hyperlink r:id="rId15" w:history="1">
        <w:r w:rsidR="00F96019" w:rsidRPr="00F96019">
          <w:rPr>
            <w:rFonts w:ascii="Tahoma" w:hAnsi="Tahoma" w:cs="Tahoma"/>
            <w:b/>
            <w:bCs/>
            <w:color w:val="337AB7"/>
            <w:sz w:val="22"/>
            <w:szCs w:val="22"/>
            <w:bdr w:val="none" w:sz="0" w:space="0" w:color="auto" w:frame="1"/>
            <w:lang w:val="es-ES" w:eastAsia="en-US"/>
          </w:rPr>
          <w:t>Horizonte Europa</w:t>
        </w:r>
      </w:hyperlink>
      <w:r w:rsidR="00F96019" w:rsidRPr="00F96019">
        <w:rPr>
          <w:rFonts w:ascii="Tahoma" w:hAnsi="Tahoma" w:cs="Tahoma"/>
          <w:color w:val="000000"/>
          <w:sz w:val="22"/>
          <w:szCs w:val="22"/>
          <w:shd w:val="clear" w:color="auto" w:fill="FFFFFF"/>
          <w:lang w:val="es-ES" w:eastAsia="en-US"/>
        </w:rPr>
        <w:t> </w:t>
      </w:r>
      <w:r w:rsidR="00F96019" w:rsidRPr="00F96019">
        <w:rPr>
          <w:rFonts w:ascii="Tahoma" w:hAnsi="Tahoma" w:cs="Tahoma"/>
          <w:sz w:val="22"/>
          <w:szCs w:val="22"/>
          <w:shd w:val="clear" w:color="auto" w:fill="FFFFFF"/>
          <w:lang w:val="es-ES" w:eastAsia="en-US"/>
        </w:rPr>
        <w:t>es el nuevo Programa Marco de Investigación e Innovación de la Unión Europea para el periodo 2021-2027. Se trata de la principal iniciativa europea para el fomento de la I+D+i, desde sus fases iniciales hasta su desarrollo y llegada al mercado, y sirve de complemento a la financiación nacional y regional. Cuenta con un presupuesto previsto de 95.000 millones de euros para los próximos 7 años. España tiene como objetivo liderar al menos el 17% del total de los proyectos financiados en convocatorias competitivas.</w:t>
      </w:r>
    </w:p>
    <w:p w:rsidR="004D6CBA" w:rsidRDefault="004D6CBA" w:rsidP="00F96019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</w:p>
    <w:p w:rsidR="004D6CBA" w:rsidRDefault="004D6CBA" w:rsidP="00F96019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</w:p>
    <w:p w:rsidR="004D6CBA" w:rsidRDefault="004D6CBA" w:rsidP="00F96019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</w:p>
    <w:p w:rsidR="00893EB7" w:rsidRDefault="00893EB7" w:rsidP="00F96019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</w:p>
    <w:p w:rsidR="00F96019" w:rsidRPr="00F96019" w:rsidRDefault="00893EB7" w:rsidP="00F96019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b/>
          <w:sz w:val="22"/>
          <w:szCs w:val="22"/>
          <w:lang w:val="es-ES" w:eastAsia="en-US"/>
        </w:rPr>
        <w:lastRenderedPageBreak/>
        <w:t>Itinerario f</w:t>
      </w:r>
      <w:r w:rsidR="00F96019" w:rsidRPr="00F96019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ormativo: </w:t>
      </w:r>
      <w:r w:rsidRPr="00F96019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Europa+Cerca </w:t>
      </w:r>
      <w:r w:rsidR="00F96019" w:rsidRPr="00F96019">
        <w:rPr>
          <w:rFonts w:ascii="Tahoma" w:eastAsiaTheme="minorHAnsi" w:hAnsi="Tahoma" w:cs="Tahoma"/>
          <w:b/>
          <w:sz w:val="22"/>
          <w:szCs w:val="22"/>
          <w:lang w:val="es-ES" w:eastAsia="en-US"/>
        </w:rPr>
        <w:t>2021</w:t>
      </w:r>
    </w:p>
    <w:p w:rsidR="00F96019" w:rsidRPr="00F96019" w:rsidRDefault="00F96019" w:rsidP="00F96019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El itinerario formativo </w:t>
      </w:r>
      <w:hyperlink r:id="rId16" w:history="1">
        <w:r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E</w:t>
        </w:r>
        <w:r w:rsidRPr="00F96019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uropa+Cerca 2021</w:t>
        </w:r>
      </w:hyperlink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facilita el acceso de empresas y entidades a financiación europea de I+D+i. Consta de cinco sesiones abiertas de cuatro horas, donde se revisarán los diferentes programas de financiación en Europa, servicios de la Enterprise Europe Network y de otros organismos de apoyo como el European Innovation</w:t>
      </w:r>
      <w:bookmarkStart w:id="0" w:name="_GoBack"/>
      <w:bookmarkEnd w:id="0"/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Council, así como los pasos para preparar una propuesta. Dichas sesiones serán impartidas por ponentes de gran experiencia internacional, especialistas en I+D+i.</w:t>
      </w:r>
    </w:p>
    <w:p w:rsidR="00F96019" w:rsidRPr="00F96019" w:rsidRDefault="00F96019" w:rsidP="00F96019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También incluye talleres prácticos</w:t>
      </w:r>
      <w:r w:rsidR="004D6CB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 dos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para las empresas/entidades seleccionadas para la evaluación de su estrategia de internacionalización y participación en proyectos europeos, donde se profundizará en la preparación de las propuestas reales.</w:t>
      </w:r>
    </w:p>
    <w:p w:rsidR="00F96019" w:rsidRPr="00F96019" w:rsidRDefault="004D6CBA" w:rsidP="00F96019">
      <w:pPr>
        <w:spacing w:after="160" w:line="259" w:lineRule="auto"/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Se mantiene el </w:t>
      </w:r>
      <w:r w:rsidR="00F96019"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formato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online</w:t>
      </w:r>
      <w:r w:rsidR="00F96019"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para lograr un máximo alcance y mantener todas las medidas de seguridad.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Las inscripciones en las s</w:t>
      </w:r>
      <w:r w:rsidR="00F96019"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esiones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se pueden hacer </w:t>
      </w:r>
      <w:r w:rsidR="00F96019"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en</w:t>
      </w:r>
      <w:r w:rsidR="00F96019" w:rsidRPr="00F96019">
        <w:rPr>
          <w:rFonts w:ascii="Times New Roman" w:hAnsi="Times New Roman"/>
          <w:szCs w:val="24"/>
          <w:lang w:val="es-ES" w:eastAsia="en-US"/>
        </w:rPr>
        <w:t xml:space="preserve"> </w:t>
      </w:r>
      <w:hyperlink r:id="rId17" w:history="1">
        <w:r w:rsidR="00F96019" w:rsidRPr="00F96019">
          <w:rPr>
            <w:rFonts w:ascii="Tahoma" w:eastAsiaTheme="minorHAnsi" w:hAnsi="Tahoma" w:cs="Tahoma"/>
            <w:color w:val="0000FF"/>
            <w:sz w:val="22"/>
            <w:szCs w:val="22"/>
            <w:u w:val="single"/>
            <w:lang w:val="es-ES" w:eastAsia="en-US"/>
          </w:rPr>
          <w:t>https://europamascerca.es/inscripcion/</w:t>
        </w:r>
      </w:hyperlink>
      <w:r w:rsidR="00F96019" w:rsidRPr="00F96019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, </w:t>
      </w:r>
      <w:r w:rsidR="00F96019"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así como ver el programa de cada sesión. </w:t>
      </w:r>
    </w:p>
    <w:p w:rsidR="00F96019" w:rsidRPr="00F96019" w:rsidRDefault="00F96019" w:rsidP="00F96019">
      <w:pPr>
        <w:spacing w:after="160" w:line="259" w:lineRule="auto"/>
        <w:rPr>
          <w:rFonts w:ascii="Tahoma" w:eastAsiaTheme="minorHAnsi" w:hAnsi="Tahoma" w:cs="Tahoma"/>
          <w:b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b/>
          <w:szCs w:val="22"/>
          <w:lang w:val="es-ES" w:eastAsia="en-US"/>
        </w:rPr>
        <w:t>Ciclo formativo- Modalidad Online</w:t>
      </w:r>
    </w:p>
    <w:p w:rsidR="00F96019" w:rsidRPr="00F96019" w:rsidRDefault="00F96019" w:rsidP="00F96019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Horario de las sesiones: 10:00 h. a 14:00 h.</w:t>
      </w:r>
    </w:p>
    <w:p w:rsidR="00F96019" w:rsidRPr="00F96019" w:rsidRDefault="00A10803" w:rsidP="004D6CBA">
      <w:pPr>
        <w:numPr>
          <w:ilvl w:val="0"/>
          <w:numId w:val="34"/>
        </w:numPr>
        <w:spacing w:after="160" w:line="259" w:lineRule="auto"/>
        <w:ind w:left="0" w:firstLine="0"/>
        <w:contextualSpacing/>
        <w:jc w:val="left"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  <w:hyperlink r:id="rId18" w:history="1"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Sesión 1. Horizonte Europa. 30 septiembre</w:t>
        </w:r>
      </w:hyperlink>
    </w:p>
    <w:p w:rsidR="00F96019" w:rsidRPr="00F96019" w:rsidRDefault="00F96019" w:rsidP="004D6CBA">
      <w:pPr>
        <w:spacing w:after="16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Principales características del programa Horizonte Europa y de sus tres grandes pilares: Ciencia Excelente, Desafíos Globales y Competitividad Industrial Europea y Europa Innovadora.</w:t>
      </w:r>
    </w:p>
    <w:p w:rsidR="00F96019" w:rsidRPr="00F96019" w:rsidRDefault="00F96019" w:rsidP="004D6CBA">
      <w:pPr>
        <w:spacing w:after="160" w:line="259" w:lineRule="auto"/>
        <w:contextualSpacing/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</w:pPr>
    </w:p>
    <w:p w:rsidR="00F96019" w:rsidRPr="00F96019" w:rsidRDefault="00A10803" w:rsidP="004D6CBA">
      <w:pPr>
        <w:numPr>
          <w:ilvl w:val="0"/>
          <w:numId w:val="34"/>
        </w:numPr>
        <w:spacing w:after="160" w:line="259" w:lineRule="auto"/>
        <w:ind w:left="0" w:firstLine="0"/>
        <w:contextualSpacing/>
        <w:jc w:val="left"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  <w:hyperlink r:id="rId19" w:history="1"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Sesión 2. Otros programas. 7 octubre</w:t>
        </w:r>
      </w:hyperlink>
    </w:p>
    <w:p w:rsidR="00F96019" w:rsidRPr="00F96019" w:rsidRDefault="00F96019" w:rsidP="004D6CBA">
      <w:pPr>
        <w:spacing w:after="16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Otros esquemas para financiar actividades de I+D+i o de cooperación tecnológica internacional, bien con financiación centralizada o descentralizada, más asequibles, pero con frecue</w:t>
      </w:r>
      <w:r w:rsidR="004D6CBA">
        <w:rPr>
          <w:rFonts w:ascii="Tahoma" w:eastAsiaTheme="minorHAnsi" w:hAnsi="Tahoma" w:cs="Tahoma"/>
          <w:sz w:val="22"/>
          <w:szCs w:val="22"/>
          <w:lang w:val="es-ES" w:eastAsia="en-US"/>
        </w:rPr>
        <w:t>ncia más desconocidas para las pymes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.</w:t>
      </w:r>
    </w:p>
    <w:p w:rsidR="00F96019" w:rsidRPr="00F96019" w:rsidRDefault="00F96019" w:rsidP="004D6CBA">
      <w:pPr>
        <w:spacing w:after="160" w:line="259" w:lineRule="auto"/>
        <w:contextualSpacing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</w:p>
    <w:p w:rsidR="00F96019" w:rsidRPr="00F96019" w:rsidRDefault="00A10803" w:rsidP="004D6CBA">
      <w:pPr>
        <w:numPr>
          <w:ilvl w:val="0"/>
          <w:numId w:val="34"/>
        </w:numPr>
        <w:spacing w:after="160" w:line="259" w:lineRule="auto"/>
        <w:ind w:left="0" w:firstLine="0"/>
        <w:contextualSpacing/>
        <w:jc w:val="left"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  <w:hyperlink r:id="rId20" w:history="1"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Sesión 3. Servicios de la Enterprise Europe Network. 14 octubre</w:t>
        </w:r>
      </w:hyperlink>
    </w:p>
    <w:p w:rsidR="00F96019" w:rsidRPr="00F96019" w:rsidRDefault="00F96019" w:rsidP="004D6CBA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Principales servicios para facilitar el proceso de internacionalización que la Enterprise Europe Network ofrece a las </w:t>
      </w:r>
      <w:r w:rsidR="004D6CBA">
        <w:rPr>
          <w:rFonts w:ascii="Tahoma" w:eastAsiaTheme="minorHAnsi" w:hAnsi="Tahoma" w:cs="Tahoma"/>
          <w:sz w:val="22"/>
          <w:szCs w:val="22"/>
          <w:lang w:val="es-ES" w:eastAsia="en-US"/>
        </w:rPr>
        <w:t>pymes</w:t>
      </w: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y también otros servicios de apoyo complementarios de otros organismos.</w:t>
      </w:r>
    </w:p>
    <w:p w:rsidR="00F96019" w:rsidRPr="00F96019" w:rsidRDefault="00A10803" w:rsidP="004D6CBA">
      <w:pPr>
        <w:numPr>
          <w:ilvl w:val="0"/>
          <w:numId w:val="34"/>
        </w:numPr>
        <w:spacing w:after="160" w:line="259" w:lineRule="auto"/>
        <w:ind w:left="0" w:firstLine="0"/>
        <w:contextualSpacing/>
        <w:jc w:val="left"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  <w:hyperlink r:id="rId21" w:history="1"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Sesión 4. Horizonte Europa: El Consejo Europeo de Innovación. 21 octubre</w:t>
        </w:r>
      </w:hyperlink>
    </w:p>
    <w:p w:rsidR="00F96019" w:rsidRPr="00F96019" w:rsidRDefault="00F96019" w:rsidP="004D6CBA">
      <w:pPr>
        <w:spacing w:after="160" w:line="259" w:lineRule="auto"/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Objetivos e instrumentos principales de financiación del Consejo Europeo de Innovación: EIC Pathfinder y EIC Accelerator (programa estrella del EIC especialmente dirigido a startups y PYMES innovadoras).</w:t>
      </w:r>
    </w:p>
    <w:p w:rsidR="00F96019" w:rsidRPr="00F96019" w:rsidRDefault="00A10803" w:rsidP="004D6CBA">
      <w:pPr>
        <w:numPr>
          <w:ilvl w:val="0"/>
          <w:numId w:val="34"/>
        </w:numPr>
        <w:spacing w:after="160" w:line="259" w:lineRule="auto"/>
        <w:ind w:left="0" w:firstLine="0"/>
        <w:contextualSpacing/>
        <w:jc w:val="left"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  <w:hyperlink r:id="rId22" w:history="1"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Sesión 5. La propuesta. 28 octubre</w:t>
        </w:r>
      </w:hyperlink>
    </w:p>
    <w:p w:rsidR="00F96019" w:rsidRPr="00F96019" w:rsidRDefault="00F96019" w:rsidP="004D6CBA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Herramientas principales a disposición de los solicitantes, apartados clave de la propuesta y proceso de evaluación, primera aproximación a la gestión de proyectos financiados para realizar la elaboración y presentación de una propuesta competitiva.</w:t>
      </w:r>
    </w:p>
    <w:p w:rsidR="00F96019" w:rsidRPr="00F96019" w:rsidRDefault="00A10803" w:rsidP="004D6CBA">
      <w:pPr>
        <w:numPr>
          <w:ilvl w:val="0"/>
          <w:numId w:val="34"/>
        </w:numPr>
        <w:spacing w:after="160" w:line="259" w:lineRule="auto"/>
        <w:ind w:left="0" w:firstLine="0"/>
        <w:contextualSpacing/>
        <w:jc w:val="left"/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</w:pPr>
      <w:hyperlink r:id="rId23" w:history="1"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Talleres prácticos.</w:t>
        </w:r>
        <w:r w:rsidR="00F96019" w:rsidRPr="00F96019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val="es-ES" w:eastAsia="en-US"/>
          </w:rPr>
          <w:t xml:space="preserve"> </w:t>
        </w:r>
        <w:r w:rsidR="00F96019" w:rsidRPr="00F96019">
          <w:rPr>
            <w:rFonts w:ascii="Tahoma" w:eastAsiaTheme="minorHAnsi" w:hAnsi="Tahoma" w:cs="Tahoma"/>
            <w:b/>
            <w:color w:val="0563C1" w:themeColor="hyperlink"/>
            <w:sz w:val="22"/>
            <w:szCs w:val="22"/>
            <w:u w:val="single"/>
            <w:lang w:val="es-ES" w:eastAsia="en-US"/>
          </w:rPr>
          <w:t>11 de noviembre o 25 de noviembre o 2 de diciembre.</w:t>
        </w:r>
      </w:hyperlink>
    </w:p>
    <w:p w:rsidR="00F96019" w:rsidRPr="00F96019" w:rsidRDefault="00F96019" w:rsidP="004D6CBA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F96019">
        <w:rPr>
          <w:rFonts w:ascii="Tahoma" w:eastAsiaTheme="minorHAnsi" w:hAnsi="Tahoma" w:cs="Tahoma"/>
          <w:sz w:val="22"/>
          <w:szCs w:val="22"/>
          <w:lang w:val="es-ES" w:eastAsia="en-US"/>
        </w:rPr>
        <w:t>Práctica real con las herramientas aprendidas, elaboración de los apartados clave de las propuestas, adaptando los contextos y casos de simulación a los intereses particulares de cada grupo.</w:t>
      </w:r>
    </w:p>
    <w:p w:rsidR="00F96019" w:rsidRPr="00F96019" w:rsidRDefault="00F96019" w:rsidP="004D6CBA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</w:p>
    <w:p w:rsidR="00893EB7" w:rsidRDefault="00893EB7" w:rsidP="00F96019">
      <w:pPr>
        <w:tabs>
          <w:tab w:val="left" w:pos="5640"/>
        </w:tabs>
        <w:rPr>
          <w:rFonts w:ascii="Tahoma" w:hAnsi="Tahoma" w:cs="Tahoma"/>
          <w:sz w:val="22"/>
          <w:szCs w:val="24"/>
          <w:lang w:val="es-ES" w:eastAsia="en-US"/>
        </w:rPr>
      </w:pPr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sz w:val="22"/>
          <w:szCs w:val="24"/>
          <w:lang w:val="es-ES" w:eastAsia="en-US"/>
        </w:rPr>
        <w:t>La información que se recopile en estas sesiones ayudará a definir las líneas estratégicas de actuación. Asimismo, ayudará a establecer los mecanismos de financiación correspondientes u otros mecanismos de apoyo, así como a establecer los parámetros técnicos que permitirán la valoración y selección del programa de financiación a los que cada empresa o entidad puede acceder según sus necesidades/objetivos.</w:t>
      </w:r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sz w:val="22"/>
          <w:szCs w:val="24"/>
          <w:lang w:val="es-ES" w:eastAsia="en-US"/>
        </w:rPr>
      </w:pPr>
    </w:p>
    <w:p w:rsidR="00F96019" w:rsidRDefault="00F96019" w:rsidP="00F96019">
      <w:pPr>
        <w:tabs>
          <w:tab w:val="left" w:pos="5640"/>
        </w:tabs>
        <w:rPr>
          <w:rFonts w:ascii="Tahoma" w:hAnsi="Tahoma" w:cs="Tahoma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sz w:val="22"/>
          <w:szCs w:val="24"/>
          <w:lang w:val="es-ES" w:eastAsia="en-US"/>
        </w:rPr>
        <w:t>El Itinerario Formativo está organizado por las diez entidades que forman parte del consorcio ACTIS de la Enterprise Europe Network, y es un programa pionero en España:</w:t>
      </w:r>
    </w:p>
    <w:p w:rsidR="004D6CBA" w:rsidRPr="00F96019" w:rsidRDefault="004D6CBA" w:rsidP="00F96019">
      <w:pPr>
        <w:tabs>
          <w:tab w:val="left" w:pos="5640"/>
        </w:tabs>
        <w:rPr>
          <w:rFonts w:ascii="Tahoma" w:hAnsi="Tahoma" w:cs="Tahoma"/>
          <w:sz w:val="22"/>
          <w:szCs w:val="24"/>
          <w:lang w:val="es-ES" w:eastAsia="en-US"/>
        </w:rPr>
      </w:pPr>
    </w:p>
    <w:p w:rsidR="00F96019" w:rsidRPr="00F96019" w:rsidRDefault="004D6CBA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24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Confederación de Empresarios de Albacete (FEDA)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25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Instituto Tecnológico de Aragón (ITAINNOVA)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26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Agencia de Desarrollo Económico de La Rioja (ADER)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27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Asociación de la Industria Navarra (AIN)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28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Cámara Oficial de Comercio e Industria de Toledo (CCI TOLEDO)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29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Confederación de Empresarios de Aragón (CEOE ARAGÓN)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30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Federación de Empresas de La Rioja (FER)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31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Fundación Fundecyt Parque Científico y Tecnológico de Extremadura (FUNDECYT-PCTEX)</w:t>
        </w:r>
      </w:hyperlink>
    </w:p>
    <w:p w:rsidR="00F96019" w:rsidRPr="00F96019" w:rsidRDefault="00F96019" w:rsidP="00F96019">
      <w:pPr>
        <w:tabs>
          <w:tab w:val="left" w:pos="5640"/>
        </w:tabs>
        <w:rPr>
          <w:rFonts w:ascii="Tahoma" w:hAnsi="Tahoma" w:cs="Tahoma"/>
          <w:color w:val="002060"/>
          <w:sz w:val="22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32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Universidad de Castilla-La Mancha (UCLM)</w:t>
        </w:r>
      </w:hyperlink>
    </w:p>
    <w:p w:rsidR="00F96019" w:rsidRPr="00F96019" w:rsidRDefault="00F96019" w:rsidP="00F96019">
      <w:pPr>
        <w:rPr>
          <w:rFonts w:ascii="Tahoma" w:hAnsi="Tahoma" w:cs="Tahoma"/>
          <w:color w:val="002060"/>
          <w:szCs w:val="24"/>
          <w:lang w:val="es-ES" w:eastAsia="en-US"/>
        </w:rPr>
      </w:pPr>
      <w:r w:rsidRPr="00F96019">
        <w:rPr>
          <w:rFonts w:ascii="Tahoma" w:hAnsi="Tahoma" w:cs="Tahoma"/>
          <w:color w:val="002060"/>
          <w:sz w:val="22"/>
          <w:szCs w:val="24"/>
          <w:lang w:val="es-ES" w:eastAsia="en-US"/>
        </w:rPr>
        <w:t xml:space="preserve">• </w:t>
      </w:r>
      <w:hyperlink r:id="rId33" w:history="1">
        <w:r w:rsidRPr="00F96019">
          <w:rPr>
            <w:rFonts w:ascii="Tahoma" w:hAnsi="Tahoma" w:cs="Tahoma"/>
            <w:color w:val="0000FF"/>
            <w:sz w:val="22"/>
            <w:szCs w:val="24"/>
            <w:u w:val="single"/>
            <w:lang w:val="es-ES" w:eastAsia="en-US"/>
          </w:rPr>
          <w:t>Universidad de Navarra (UNAV)</w:t>
        </w:r>
      </w:hyperlink>
      <w:r w:rsidRPr="00F96019">
        <w:rPr>
          <w:rFonts w:ascii="Tahoma" w:hAnsi="Tahoma" w:cs="Tahoma"/>
          <w:color w:val="002060"/>
          <w:szCs w:val="24"/>
          <w:lang w:val="es-ES" w:eastAsia="en-US"/>
        </w:rPr>
        <w:t xml:space="preserve"> </w:t>
      </w:r>
    </w:p>
    <w:p w:rsidR="00F96019" w:rsidRPr="00F96019" w:rsidRDefault="00F96019" w:rsidP="00F96019">
      <w:pPr>
        <w:rPr>
          <w:rFonts w:ascii="Tahoma" w:hAnsi="Tahoma" w:cs="Tahoma"/>
          <w:szCs w:val="24"/>
          <w:lang w:val="es-ES" w:eastAsia="en-US"/>
        </w:rPr>
      </w:pPr>
    </w:p>
    <w:p w:rsidR="00C84DCB" w:rsidRDefault="00C84DCB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C84DCB" w:rsidSect="000D4D85">
      <w:headerReference w:type="default" r:id="rId34"/>
      <w:footerReference w:type="even" r:id="rId35"/>
      <w:footerReference w:type="default" r:id="rId3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10803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A1080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BE49B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1080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BE49B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1080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BE49B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6823C1F"/>
    <w:multiLevelType w:val="hybridMultilevel"/>
    <w:tmpl w:val="F03CEA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57588"/>
    <w:multiLevelType w:val="hybridMultilevel"/>
    <w:tmpl w:val="7A8A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A4737"/>
    <w:multiLevelType w:val="hybridMultilevel"/>
    <w:tmpl w:val="C284FE7E"/>
    <w:lvl w:ilvl="0" w:tplc="F0F0CA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D18AB"/>
    <w:multiLevelType w:val="hybridMultilevel"/>
    <w:tmpl w:val="1F9C0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D5DEB"/>
    <w:multiLevelType w:val="hybridMultilevel"/>
    <w:tmpl w:val="91CCD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67DC3"/>
    <w:multiLevelType w:val="hybridMultilevel"/>
    <w:tmpl w:val="02CCB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F7D0E"/>
    <w:multiLevelType w:val="hybridMultilevel"/>
    <w:tmpl w:val="9B7438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468C1"/>
    <w:multiLevelType w:val="hybridMultilevel"/>
    <w:tmpl w:val="28D6E2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99288B"/>
    <w:multiLevelType w:val="hybridMultilevel"/>
    <w:tmpl w:val="52109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6297B"/>
    <w:multiLevelType w:val="hybridMultilevel"/>
    <w:tmpl w:val="185E5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4B1CBE"/>
    <w:multiLevelType w:val="hybridMultilevel"/>
    <w:tmpl w:val="E6CEE976"/>
    <w:lvl w:ilvl="0" w:tplc="571EB6AA">
      <w:start w:val="2"/>
      <w:numFmt w:val="bullet"/>
      <w:lvlText w:val="-"/>
      <w:lvlJc w:val="left"/>
      <w:pPr>
        <w:ind w:left="435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6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4D12740"/>
    <w:multiLevelType w:val="hybridMultilevel"/>
    <w:tmpl w:val="0BFE6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A7713"/>
    <w:multiLevelType w:val="hybridMultilevel"/>
    <w:tmpl w:val="B14660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0E42AB"/>
    <w:multiLevelType w:val="hybridMultilevel"/>
    <w:tmpl w:val="E814E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3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8B35E7"/>
    <w:multiLevelType w:val="hybridMultilevel"/>
    <w:tmpl w:val="36F244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2D116B6"/>
    <w:multiLevelType w:val="hybridMultilevel"/>
    <w:tmpl w:val="09263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5"/>
  </w:num>
  <w:num w:numId="7">
    <w:abstractNumId w:val="8"/>
  </w:num>
  <w:num w:numId="8">
    <w:abstractNumId w:val="35"/>
  </w:num>
  <w:num w:numId="9">
    <w:abstractNumId w:val="37"/>
  </w:num>
  <w:num w:numId="10">
    <w:abstractNumId w:val="28"/>
  </w:num>
  <w:num w:numId="11">
    <w:abstractNumId w:val="16"/>
  </w:num>
  <w:num w:numId="12">
    <w:abstractNumId w:val="10"/>
  </w:num>
  <w:num w:numId="13">
    <w:abstractNumId w:val="38"/>
  </w:num>
  <w:num w:numId="14">
    <w:abstractNumId w:val="33"/>
  </w:num>
  <w:num w:numId="15">
    <w:abstractNumId w:val="12"/>
  </w:num>
  <w:num w:numId="16">
    <w:abstractNumId w:val="26"/>
  </w:num>
  <w:num w:numId="17">
    <w:abstractNumId w:val="17"/>
  </w:num>
  <w:num w:numId="18">
    <w:abstractNumId w:val="22"/>
  </w:num>
  <w:num w:numId="19">
    <w:abstractNumId w:val="30"/>
  </w:num>
  <w:num w:numId="20">
    <w:abstractNumId w:val="23"/>
  </w:num>
  <w:num w:numId="21">
    <w:abstractNumId w:val="24"/>
  </w:num>
  <w:num w:numId="22">
    <w:abstractNumId w:val="9"/>
  </w:num>
  <w:num w:numId="23">
    <w:abstractNumId w:val="21"/>
  </w:num>
  <w:num w:numId="24">
    <w:abstractNumId w:val="19"/>
  </w:num>
  <w:num w:numId="25">
    <w:abstractNumId w:val="18"/>
  </w:num>
  <w:num w:numId="26">
    <w:abstractNumId w:val="39"/>
  </w:num>
  <w:num w:numId="27">
    <w:abstractNumId w:val="13"/>
  </w:num>
  <w:num w:numId="28">
    <w:abstractNumId w:val="7"/>
  </w:num>
  <w:num w:numId="29">
    <w:abstractNumId w:val="27"/>
  </w:num>
  <w:num w:numId="30">
    <w:abstractNumId w:val="25"/>
  </w:num>
  <w:num w:numId="31">
    <w:abstractNumId w:val="29"/>
  </w:num>
  <w:num w:numId="32">
    <w:abstractNumId w:val="36"/>
  </w:num>
  <w:num w:numId="33">
    <w:abstractNumId w:val="11"/>
  </w:num>
  <w:num w:numId="34">
    <w:abstractNumId w:val="20"/>
  </w:num>
  <w:num w:numId="35">
    <w:abstractNumId w:val="31"/>
  </w:num>
  <w:num w:numId="36">
    <w:abstractNumId w:val="34"/>
  </w:num>
  <w:num w:numId="3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803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9B0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854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orizonteeuropa.es/" TargetMode="External"/><Relationship Id="rId18" Type="http://schemas.openxmlformats.org/officeDocument/2006/relationships/hyperlink" Target="https://europamascerca.es/programa/sesion-1/" TargetMode="External"/><Relationship Id="rId26" Type="http://schemas.openxmlformats.org/officeDocument/2006/relationships/hyperlink" Target="http://een.ader.es/" TargetMode="External"/><Relationship Id="rId21" Type="http://schemas.openxmlformats.org/officeDocument/2006/relationships/hyperlink" Target="https://europamascerca.es/programa/sesion-4/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europamascerca.es/" TargetMode="External"/><Relationship Id="rId17" Type="http://schemas.openxmlformats.org/officeDocument/2006/relationships/hyperlink" Target="https://europamascerca.es/inscripcion/" TargetMode="External"/><Relationship Id="rId25" Type="http://schemas.openxmlformats.org/officeDocument/2006/relationships/hyperlink" Target="https://www.itainnova.es/es" TargetMode="External"/><Relationship Id="rId33" Type="http://schemas.openxmlformats.org/officeDocument/2006/relationships/hyperlink" Target="https://www.unav.ed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uropamascerca.es/" TargetMode="External"/><Relationship Id="rId20" Type="http://schemas.openxmlformats.org/officeDocument/2006/relationships/hyperlink" Target="https://europamascerca.es/programa/sesion-3/" TargetMode="External"/><Relationship Id="rId29" Type="http://schemas.openxmlformats.org/officeDocument/2006/relationships/hyperlink" Target="https://ceoearagon.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enclm.com/quienes-somos/" TargetMode="External"/><Relationship Id="rId24" Type="http://schemas.openxmlformats.org/officeDocument/2006/relationships/hyperlink" Target="https://www.feda.es/" TargetMode="External"/><Relationship Id="rId32" Type="http://schemas.openxmlformats.org/officeDocument/2006/relationships/hyperlink" Target="https://www.uclm.es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c.europa.eu/info/horizon-europe_en" TargetMode="External"/><Relationship Id="rId23" Type="http://schemas.openxmlformats.org/officeDocument/2006/relationships/hyperlink" Target="https://europamascerca.es/programa/talleres-practicos/" TargetMode="External"/><Relationship Id="rId28" Type="http://schemas.openxmlformats.org/officeDocument/2006/relationships/hyperlink" Target="https://camaratoledo.com/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een.ec.europa.eu/about/branches/es/albacete" TargetMode="External"/><Relationship Id="rId19" Type="http://schemas.openxmlformats.org/officeDocument/2006/relationships/hyperlink" Target="https://europamascerca.es/programa/sesion-2/" TargetMode="External"/><Relationship Id="rId31" Type="http://schemas.openxmlformats.org/officeDocument/2006/relationships/hyperlink" Target="https://www.fundecyt-pctex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foactis.es/" TargetMode="External"/><Relationship Id="rId14" Type="http://schemas.openxmlformats.org/officeDocument/2006/relationships/hyperlink" Target="https://www.feda.es/" TargetMode="External"/><Relationship Id="rId22" Type="http://schemas.openxmlformats.org/officeDocument/2006/relationships/hyperlink" Target="https://europamascerca.es/programa/sesion-5/" TargetMode="External"/><Relationship Id="rId27" Type="http://schemas.openxmlformats.org/officeDocument/2006/relationships/hyperlink" Target="https://www.ain.es/een/" TargetMode="External"/><Relationship Id="rId30" Type="http://schemas.openxmlformats.org/officeDocument/2006/relationships/hyperlink" Target="https://sie.fer.es/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feda.es/servicios/asesoramiento-tecnico/internacional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7727D-FBD4-4F18-8BE1-007C84E97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859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7147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2021-09-20T08:37:00Z</dcterms:created>
  <dcterms:modified xsi:type="dcterms:W3CDTF">2021-09-20T08:45:00Z</dcterms:modified>
</cp:coreProperties>
</file>