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A1ED7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62BDE510" w14:textId="77777777" w:rsidR="005B7F49" w:rsidRDefault="005B7F49" w:rsidP="00E63862">
      <w:pPr>
        <w:jc w:val="right"/>
        <w:rPr>
          <w:rFonts w:ascii="Tahoma" w:hAnsi="Tahoma" w:cs="Tahoma"/>
          <w:bCs/>
          <w:szCs w:val="24"/>
        </w:rPr>
      </w:pPr>
    </w:p>
    <w:p w14:paraId="2A09712D" w14:textId="77777777" w:rsidR="005B7F49" w:rsidRDefault="005B7F49" w:rsidP="00E63862">
      <w:pPr>
        <w:jc w:val="right"/>
        <w:rPr>
          <w:rFonts w:ascii="Tahoma" w:hAnsi="Tahoma" w:cs="Tahoma"/>
          <w:bCs/>
          <w:szCs w:val="24"/>
        </w:rPr>
      </w:pPr>
    </w:p>
    <w:p w14:paraId="4747A76F" w14:textId="77777777"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E52F9B">
        <w:rPr>
          <w:rFonts w:ascii="Tahoma" w:hAnsi="Tahoma" w:cs="Tahoma"/>
          <w:bCs/>
          <w:szCs w:val="24"/>
        </w:rPr>
        <w:t>2</w:t>
      </w:r>
      <w:r w:rsidR="00FD1857">
        <w:rPr>
          <w:rFonts w:ascii="Tahoma" w:hAnsi="Tahoma" w:cs="Tahoma"/>
          <w:bCs/>
          <w:szCs w:val="24"/>
        </w:rPr>
        <w:t>4</w:t>
      </w:r>
      <w:r w:rsidR="009406A2">
        <w:rPr>
          <w:rFonts w:ascii="Tahoma" w:hAnsi="Tahoma" w:cs="Tahoma"/>
          <w:bCs/>
          <w:szCs w:val="24"/>
        </w:rPr>
        <w:t xml:space="preserve"> de </w:t>
      </w:r>
      <w:r w:rsidR="00A07310">
        <w:rPr>
          <w:rFonts w:ascii="Tahoma" w:hAnsi="Tahoma" w:cs="Tahoma"/>
          <w:bCs/>
          <w:szCs w:val="24"/>
        </w:rPr>
        <w:t>febrero</w:t>
      </w:r>
      <w:r w:rsidR="009406A2"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 w:rsidR="00044A60">
        <w:rPr>
          <w:rFonts w:ascii="Tahoma" w:hAnsi="Tahoma" w:cs="Tahoma"/>
          <w:bCs/>
          <w:szCs w:val="24"/>
        </w:rPr>
        <w:t>2</w:t>
      </w:r>
    </w:p>
    <w:p w14:paraId="22EF303B" w14:textId="77777777" w:rsidR="00AA6647" w:rsidRDefault="00AA6647" w:rsidP="00E63862">
      <w:pPr>
        <w:jc w:val="right"/>
        <w:rPr>
          <w:rFonts w:ascii="Tahoma" w:hAnsi="Tahoma" w:cs="Tahoma"/>
          <w:bCs/>
          <w:szCs w:val="24"/>
        </w:rPr>
      </w:pPr>
    </w:p>
    <w:p w14:paraId="4D1A1848" w14:textId="77777777" w:rsidR="00AA6647" w:rsidRDefault="00AA6647" w:rsidP="00E63862">
      <w:pPr>
        <w:jc w:val="right"/>
        <w:rPr>
          <w:rFonts w:ascii="Tahoma" w:hAnsi="Tahoma" w:cs="Tahoma"/>
          <w:bCs/>
          <w:szCs w:val="24"/>
        </w:rPr>
      </w:pPr>
    </w:p>
    <w:p w14:paraId="7D225B9E" w14:textId="77777777" w:rsidR="0046651E" w:rsidRDefault="0046651E" w:rsidP="00E63862">
      <w:pPr>
        <w:jc w:val="right"/>
        <w:rPr>
          <w:rFonts w:ascii="Tahoma" w:hAnsi="Tahoma" w:cs="Tahoma"/>
          <w:bCs/>
          <w:szCs w:val="24"/>
        </w:rPr>
      </w:pPr>
    </w:p>
    <w:p w14:paraId="2A21B7F5" w14:textId="77777777" w:rsidR="0046651E" w:rsidRDefault="0046651E" w:rsidP="0046651E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46651E">
        <w:rPr>
          <w:rFonts w:ascii="Tahoma" w:hAnsi="Tahoma" w:cs="Tahoma"/>
          <w:b/>
          <w:bCs/>
          <w:sz w:val="32"/>
          <w:szCs w:val="32"/>
        </w:rPr>
        <w:t>El nuevo marco de la contratación temporal, los convenios colectivos y el nuevo régimen de los ERTES centran la jornada sobre la Reforma Laboral en FEDA</w:t>
      </w:r>
    </w:p>
    <w:p w14:paraId="6A9AF9B5" w14:textId="77777777" w:rsidR="0046651E" w:rsidRDefault="0046651E" w:rsidP="0046651E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566A8E70" w14:textId="77777777" w:rsidR="0046651E" w:rsidRPr="0046651E" w:rsidRDefault="0046651E" w:rsidP="0046651E">
      <w:pPr>
        <w:pStyle w:val="Prrafodelista"/>
        <w:numPr>
          <w:ilvl w:val="0"/>
          <w:numId w:val="31"/>
        </w:numPr>
        <w:spacing w:line="240" w:lineRule="auto"/>
        <w:jc w:val="center"/>
        <w:rPr>
          <w:rFonts w:ascii="Tahoma" w:hAnsi="Tahoma" w:cs="Tahoma"/>
          <w:b/>
          <w:bCs/>
          <w:szCs w:val="24"/>
        </w:rPr>
      </w:pPr>
      <w:r w:rsidRPr="0046651E">
        <w:rPr>
          <w:rFonts w:ascii="Tahoma" w:hAnsi="Tahoma" w:cs="Tahoma"/>
          <w:b/>
          <w:bCs/>
          <w:szCs w:val="24"/>
        </w:rPr>
        <w:t xml:space="preserve">Especial interés ha tenido la intervención de la Inspección de Trabajo con </w:t>
      </w:r>
      <w:r w:rsidRPr="0046651E">
        <w:rPr>
          <w:rFonts w:ascii="Tahoma" w:hAnsi="Tahoma" w:cs="Tahoma"/>
          <w:b/>
          <w:sz w:val="24"/>
          <w:szCs w:val="24"/>
          <w:lang w:eastAsia="es-ES"/>
        </w:rPr>
        <w:t>el nuevo régimen de infracciones vinculadas a la contratación temporal y las sanciones a aplicar</w:t>
      </w:r>
    </w:p>
    <w:p w14:paraId="50E737ED" w14:textId="77777777" w:rsidR="00AA6647" w:rsidRDefault="00AA6647" w:rsidP="00E63862">
      <w:pPr>
        <w:jc w:val="right"/>
        <w:rPr>
          <w:rFonts w:ascii="Tahoma" w:hAnsi="Tahoma" w:cs="Tahoma"/>
          <w:bCs/>
          <w:szCs w:val="24"/>
        </w:rPr>
      </w:pPr>
    </w:p>
    <w:p w14:paraId="515965C0" w14:textId="77777777" w:rsidR="00AA6647" w:rsidRDefault="00AA6647" w:rsidP="00AA6647">
      <w:pPr>
        <w:rPr>
          <w:rFonts w:ascii="Tahoma" w:hAnsi="Tahoma" w:cs="Tahoma"/>
          <w:bCs/>
          <w:szCs w:val="24"/>
        </w:rPr>
      </w:pPr>
    </w:p>
    <w:p w14:paraId="6DA14ABE" w14:textId="77777777" w:rsidR="00AA6647" w:rsidRDefault="00AA6647" w:rsidP="00AA6647">
      <w:pPr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Doscientas personas, unas de manera presencial y otras online, en representación de otras tantas empresas, han participado en la </w:t>
      </w:r>
      <w:hyperlink r:id="rId8" w:history="1">
        <w:r w:rsidRPr="00D65E20">
          <w:rPr>
            <w:rStyle w:val="Hipervnculo"/>
            <w:rFonts w:ascii="Tahoma" w:hAnsi="Tahoma" w:cs="Tahoma"/>
            <w:bCs/>
            <w:szCs w:val="24"/>
          </w:rPr>
          <w:t>jornada sobre la Reforma Laboral</w:t>
        </w:r>
      </w:hyperlink>
      <w:r>
        <w:rPr>
          <w:rFonts w:ascii="Tahoma" w:hAnsi="Tahoma" w:cs="Tahoma"/>
          <w:bCs/>
          <w:szCs w:val="24"/>
        </w:rPr>
        <w:t xml:space="preserve"> que </w:t>
      </w:r>
      <w:hyperlink r:id="rId9" w:history="1">
        <w:r w:rsidRPr="00D65E20">
          <w:rPr>
            <w:rStyle w:val="Hipervnculo"/>
            <w:rFonts w:ascii="Tahoma" w:hAnsi="Tahoma" w:cs="Tahoma"/>
            <w:bCs/>
            <w:szCs w:val="24"/>
          </w:rPr>
          <w:t>FEDA</w:t>
        </w:r>
      </w:hyperlink>
      <w:r>
        <w:rPr>
          <w:rFonts w:ascii="Tahoma" w:hAnsi="Tahoma" w:cs="Tahoma"/>
          <w:bCs/>
          <w:szCs w:val="24"/>
        </w:rPr>
        <w:t xml:space="preserve"> ha celebrado con las intervenciones de los responsables de su </w:t>
      </w:r>
      <w:hyperlink r:id="rId10" w:history="1">
        <w:r w:rsidRPr="00D65E20">
          <w:rPr>
            <w:rStyle w:val="Hipervnculo"/>
            <w:rFonts w:ascii="Tahoma" w:hAnsi="Tahoma" w:cs="Tahoma"/>
            <w:bCs/>
            <w:szCs w:val="24"/>
          </w:rPr>
          <w:t>Departamento Jurídico</w:t>
        </w:r>
      </w:hyperlink>
      <w:r>
        <w:rPr>
          <w:rFonts w:ascii="Tahoma" w:hAnsi="Tahoma" w:cs="Tahoma"/>
          <w:bCs/>
          <w:szCs w:val="24"/>
        </w:rPr>
        <w:t xml:space="preserve"> y la jefa de la Inspección de Trabajo, Llanos Martínez Sánchez.</w:t>
      </w:r>
    </w:p>
    <w:p w14:paraId="5FBD4C9D" w14:textId="77777777" w:rsidR="00AA6647" w:rsidRDefault="00AA6647" w:rsidP="00AA6647">
      <w:pPr>
        <w:rPr>
          <w:rFonts w:ascii="Tahoma" w:hAnsi="Tahoma" w:cs="Tahoma"/>
          <w:bCs/>
          <w:szCs w:val="24"/>
        </w:rPr>
      </w:pPr>
    </w:p>
    <w:p w14:paraId="7C310AF5" w14:textId="77777777" w:rsidR="00AA6647" w:rsidRPr="00AA6647" w:rsidRDefault="00AA6647" w:rsidP="00AA6647">
      <w:pPr>
        <w:spacing w:after="240"/>
        <w:rPr>
          <w:rFonts w:ascii="Calibri" w:hAnsi="Calibri"/>
          <w:szCs w:val="24"/>
          <w:lang w:val="es-ES"/>
        </w:rPr>
      </w:pPr>
      <w:r w:rsidRPr="00AA6647">
        <w:rPr>
          <w:rFonts w:ascii="Tahoma" w:hAnsi="Tahoma" w:cs="Tahoma"/>
          <w:szCs w:val="24"/>
        </w:rPr>
        <w:t>En cuanto al co</w:t>
      </w:r>
      <w:r>
        <w:rPr>
          <w:rFonts w:ascii="Tahoma" w:hAnsi="Tahoma" w:cs="Tahoma"/>
          <w:szCs w:val="24"/>
        </w:rPr>
        <w:t>ntenido de la jornada,</w:t>
      </w:r>
      <w:r w:rsidRPr="00AA6647">
        <w:rPr>
          <w:rFonts w:ascii="Tahoma" w:hAnsi="Tahoma" w:cs="Tahoma"/>
          <w:szCs w:val="24"/>
        </w:rPr>
        <w:t xml:space="preserve"> fundamentalmente se ha abordado el nuevo marco de la contratación temporal, los contratos fijos-discontinuos, la ultra</w:t>
      </w:r>
      <w:r>
        <w:rPr>
          <w:rFonts w:ascii="Tahoma" w:hAnsi="Tahoma" w:cs="Tahoma"/>
          <w:szCs w:val="24"/>
        </w:rPr>
        <w:t xml:space="preserve"> </w:t>
      </w:r>
      <w:r w:rsidRPr="00AA6647">
        <w:rPr>
          <w:rFonts w:ascii="Tahoma" w:hAnsi="Tahoma" w:cs="Tahoma"/>
          <w:szCs w:val="24"/>
        </w:rPr>
        <w:t>actividad de los convenios co</w:t>
      </w:r>
      <w:r>
        <w:rPr>
          <w:rFonts w:ascii="Tahoma" w:hAnsi="Tahoma" w:cs="Tahoma"/>
          <w:szCs w:val="24"/>
        </w:rPr>
        <w:t xml:space="preserve">lectivos y el nuevo régimen de </w:t>
      </w:r>
      <w:r w:rsidRPr="00AA6647">
        <w:rPr>
          <w:rFonts w:ascii="Tahoma" w:hAnsi="Tahoma" w:cs="Tahoma"/>
          <w:szCs w:val="24"/>
        </w:rPr>
        <w:t>los ERTES.</w:t>
      </w:r>
    </w:p>
    <w:p w14:paraId="007E56BD" w14:textId="77777777" w:rsidR="00AA6647" w:rsidRDefault="00AA6647" w:rsidP="00AA6647">
      <w:pPr>
        <w:spacing w:after="240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Los participantes han tenido la oportunidad de aclarar dudas. La </w:t>
      </w:r>
      <w:r w:rsidRPr="00AA6647">
        <w:rPr>
          <w:rFonts w:ascii="Tahoma" w:hAnsi="Tahoma" w:cs="Tahoma"/>
          <w:szCs w:val="24"/>
        </w:rPr>
        <w:t xml:space="preserve">mayoría </w:t>
      </w:r>
      <w:r>
        <w:rPr>
          <w:rFonts w:ascii="Tahoma" w:hAnsi="Tahoma" w:cs="Tahoma"/>
          <w:szCs w:val="24"/>
        </w:rPr>
        <w:t xml:space="preserve">de ellas </w:t>
      </w:r>
      <w:r w:rsidRPr="00AA6647">
        <w:rPr>
          <w:rFonts w:ascii="Tahoma" w:hAnsi="Tahoma" w:cs="Tahoma"/>
          <w:szCs w:val="24"/>
        </w:rPr>
        <w:t>han versado sobre la utilización y/o las limitaciones al uso de los contratos temporales (prohibición de encadenamientos de contratos) y consecuencias de su incumplimiento.</w:t>
      </w:r>
    </w:p>
    <w:p w14:paraId="09D23C59" w14:textId="77777777" w:rsidR="00AA6647" w:rsidRPr="00AA6647" w:rsidRDefault="00AA6647" w:rsidP="00AA6647">
      <w:pPr>
        <w:spacing w:after="240"/>
        <w:rPr>
          <w:szCs w:val="24"/>
        </w:rPr>
      </w:pPr>
      <w:r w:rsidRPr="00AA6647">
        <w:rPr>
          <w:rFonts w:ascii="Tahoma" w:hAnsi="Tahoma" w:cs="Tahoma"/>
          <w:szCs w:val="24"/>
        </w:rPr>
        <w:t>En materia de cont</w:t>
      </w:r>
      <w:r>
        <w:rPr>
          <w:rFonts w:ascii="Tahoma" w:hAnsi="Tahoma" w:cs="Tahoma"/>
          <w:szCs w:val="24"/>
        </w:rPr>
        <w:t>r</w:t>
      </w:r>
      <w:r w:rsidRPr="00AA6647">
        <w:rPr>
          <w:rFonts w:ascii="Tahoma" w:hAnsi="Tahoma" w:cs="Tahoma"/>
          <w:szCs w:val="24"/>
        </w:rPr>
        <w:t>atos fijos discontinuos ha despertado especial interés los nuevos supuestos en los que procede su utilización y las indemnizaciones que llevan aparejadas la terminación de los mismos.</w:t>
      </w:r>
    </w:p>
    <w:p w14:paraId="6161D1D6" w14:textId="77777777" w:rsidR="00AA6647" w:rsidRPr="00AA6647" w:rsidRDefault="00AA6647" w:rsidP="00AA6647">
      <w:pPr>
        <w:spacing w:after="240"/>
        <w:rPr>
          <w:rFonts w:ascii="Tahoma" w:hAnsi="Tahoma" w:cs="Tahoma"/>
          <w:szCs w:val="24"/>
          <w:u w:val="single"/>
          <w:lang w:val="es-ES"/>
        </w:rPr>
      </w:pPr>
      <w:r>
        <w:rPr>
          <w:rFonts w:ascii="Tahoma" w:hAnsi="Tahoma" w:cs="Tahoma"/>
          <w:szCs w:val="24"/>
        </w:rPr>
        <w:t>Sobre la contratación, t</w:t>
      </w:r>
      <w:r w:rsidRPr="00AA6647">
        <w:rPr>
          <w:rFonts w:ascii="Tahoma" w:hAnsi="Tahoma" w:cs="Tahoma"/>
          <w:szCs w:val="24"/>
        </w:rPr>
        <w:t>ambién se ha analizado el nuevo contrato indefinido adscrito a obra (específico para el sector de construcción) que ha venido a sustituir al antiguo contrato fijo de obra, en particular en lo que atañe a las nuevas causas y requisitos de extinción en caso de finalización de las mismas.</w:t>
      </w:r>
    </w:p>
    <w:p w14:paraId="00BBEA3B" w14:textId="77777777" w:rsidR="00AA6647" w:rsidRDefault="00AA6647" w:rsidP="00AA6647">
      <w:pPr>
        <w:spacing w:after="240"/>
        <w:rPr>
          <w:rFonts w:ascii="Tahoma" w:hAnsi="Tahoma" w:cs="Tahoma"/>
          <w:szCs w:val="24"/>
        </w:rPr>
      </w:pPr>
      <w:r w:rsidRPr="00AA6647">
        <w:rPr>
          <w:rFonts w:ascii="Tahoma" w:hAnsi="Tahoma" w:cs="Tahoma"/>
          <w:szCs w:val="24"/>
        </w:rPr>
        <w:t>Especial interés ha tenido entre</w:t>
      </w:r>
      <w:r>
        <w:rPr>
          <w:rFonts w:ascii="Tahoma" w:hAnsi="Tahoma" w:cs="Tahoma"/>
          <w:szCs w:val="24"/>
        </w:rPr>
        <w:t xml:space="preserve"> las empresas</w:t>
      </w:r>
      <w:r w:rsidRPr="00AA6647">
        <w:rPr>
          <w:rFonts w:ascii="Tahoma" w:hAnsi="Tahoma" w:cs="Tahoma"/>
          <w:szCs w:val="24"/>
        </w:rPr>
        <w:t>, la exposición por parte de la Inspección de Trabajo sobre el nuevo régimen de infracciones vinculadas a la contratación temporal y del endurecimiento de las sanciones que se han establecido para los casos de incumplimiento.   </w:t>
      </w:r>
    </w:p>
    <w:p w14:paraId="44158F62" w14:textId="77777777" w:rsidR="005B7F49" w:rsidRDefault="005B7F49" w:rsidP="00AA6647">
      <w:pPr>
        <w:spacing w:after="240"/>
        <w:rPr>
          <w:rFonts w:ascii="Tahoma" w:hAnsi="Tahoma" w:cs="Tahoma"/>
          <w:szCs w:val="24"/>
        </w:rPr>
      </w:pPr>
    </w:p>
    <w:p w14:paraId="0A2A740E" w14:textId="77777777" w:rsidR="005B7F49" w:rsidRPr="00AA6647" w:rsidRDefault="005B7F49" w:rsidP="00AA6647">
      <w:pPr>
        <w:spacing w:after="240"/>
        <w:rPr>
          <w:rFonts w:ascii="Tahoma" w:hAnsi="Tahoma" w:cs="Tahoma"/>
          <w:szCs w:val="24"/>
        </w:rPr>
      </w:pPr>
    </w:p>
    <w:p w14:paraId="19B2E6AC" w14:textId="77777777" w:rsidR="00AA6647" w:rsidRPr="00AA6647" w:rsidRDefault="00AA6647" w:rsidP="00AA6647">
      <w:pPr>
        <w:spacing w:after="240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En materia de ERTES, la</w:t>
      </w:r>
      <w:r w:rsidRPr="00AA6647">
        <w:rPr>
          <w:rFonts w:ascii="Tahoma" w:hAnsi="Tahoma" w:cs="Tahoma"/>
          <w:szCs w:val="24"/>
        </w:rPr>
        <w:t xml:space="preserve"> prórroga de los </w:t>
      </w:r>
      <w:r>
        <w:rPr>
          <w:rFonts w:ascii="Tahoma" w:hAnsi="Tahoma" w:cs="Tahoma"/>
          <w:szCs w:val="24"/>
        </w:rPr>
        <w:t>mismos “p</w:t>
      </w:r>
      <w:r w:rsidRPr="00AA6647">
        <w:rPr>
          <w:rFonts w:ascii="Tahoma" w:hAnsi="Tahoma" w:cs="Tahoma"/>
          <w:szCs w:val="24"/>
        </w:rPr>
        <w:t xml:space="preserve">or </w:t>
      </w:r>
      <w:r>
        <w:rPr>
          <w:rFonts w:ascii="Tahoma" w:hAnsi="Tahoma" w:cs="Tahoma"/>
          <w:szCs w:val="24"/>
        </w:rPr>
        <w:t>fuerza mayor”</w:t>
      </w:r>
      <w:r w:rsidRPr="00AA6647">
        <w:rPr>
          <w:rFonts w:ascii="Tahoma" w:hAnsi="Tahoma" w:cs="Tahoma"/>
          <w:szCs w:val="24"/>
        </w:rPr>
        <w:t xml:space="preserve"> hasta el próximo 30 de marzo y las exenciones en cotización a </w:t>
      </w:r>
      <w:r>
        <w:rPr>
          <w:rFonts w:ascii="Tahoma" w:hAnsi="Tahoma" w:cs="Tahoma"/>
          <w:szCs w:val="24"/>
        </w:rPr>
        <w:t>la S</w:t>
      </w:r>
      <w:r w:rsidRPr="00AA6647">
        <w:rPr>
          <w:rFonts w:ascii="Tahoma" w:hAnsi="Tahoma" w:cs="Tahoma"/>
          <w:szCs w:val="24"/>
        </w:rPr>
        <w:t xml:space="preserve">eguridad </w:t>
      </w:r>
      <w:r>
        <w:rPr>
          <w:rFonts w:ascii="Tahoma" w:hAnsi="Tahoma" w:cs="Tahoma"/>
          <w:szCs w:val="24"/>
        </w:rPr>
        <w:t>S</w:t>
      </w:r>
      <w:r w:rsidRPr="00AA6647">
        <w:rPr>
          <w:rFonts w:ascii="Tahoma" w:hAnsi="Tahoma" w:cs="Tahoma"/>
          <w:szCs w:val="24"/>
        </w:rPr>
        <w:t>ocial vinculadas a la formación de trabajadores. Igualmente</w:t>
      </w:r>
      <w:r>
        <w:rPr>
          <w:rFonts w:ascii="Tahoma" w:hAnsi="Tahoma" w:cs="Tahoma"/>
          <w:szCs w:val="24"/>
        </w:rPr>
        <w:t xml:space="preserve">, en esta materia </w:t>
      </w:r>
      <w:r w:rsidRPr="00AA6647">
        <w:rPr>
          <w:rFonts w:ascii="Tahoma" w:hAnsi="Tahoma" w:cs="Tahoma"/>
          <w:szCs w:val="24"/>
        </w:rPr>
        <w:t>se comentaron los dos supuestos en que procede la activación (a propuesta del consejo de Ministros) del nuevo mecanismo Red de flexibilidad y estabilización de empleo y cu</w:t>
      </w:r>
      <w:r>
        <w:rPr>
          <w:rFonts w:ascii="Tahoma" w:hAnsi="Tahoma" w:cs="Tahoma"/>
          <w:szCs w:val="24"/>
        </w:rPr>
        <w:t>á</w:t>
      </w:r>
      <w:r w:rsidRPr="00AA6647">
        <w:rPr>
          <w:rFonts w:ascii="Tahoma" w:hAnsi="Tahoma" w:cs="Tahoma"/>
          <w:szCs w:val="24"/>
        </w:rPr>
        <w:t xml:space="preserve">les serían los sectores que más se podrían beneficiar en caso de producirse su activación. </w:t>
      </w:r>
    </w:p>
    <w:p w14:paraId="7F48270D" w14:textId="77777777" w:rsidR="00AA6647" w:rsidRPr="00AA6647" w:rsidRDefault="00AA6647" w:rsidP="00AA6647">
      <w:pPr>
        <w:spacing w:after="240"/>
        <w:rPr>
          <w:rFonts w:ascii="Tahoma" w:hAnsi="Tahoma" w:cs="Tahoma"/>
          <w:szCs w:val="24"/>
        </w:rPr>
      </w:pPr>
      <w:r w:rsidRPr="00AA6647">
        <w:rPr>
          <w:rFonts w:ascii="Tahoma" w:hAnsi="Tahoma" w:cs="Tahoma"/>
          <w:szCs w:val="24"/>
        </w:rPr>
        <w:t xml:space="preserve">En </w:t>
      </w:r>
      <w:r>
        <w:rPr>
          <w:rFonts w:ascii="Tahoma" w:hAnsi="Tahoma" w:cs="Tahoma"/>
          <w:szCs w:val="24"/>
        </w:rPr>
        <w:t>lo relativo a l</w:t>
      </w:r>
      <w:r w:rsidR="0046651E">
        <w:rPr>
          <w:rFonts w:ascii="Tahoma" w:hAnsi="Tahoma" w:cs="Tahoma"/>
          <w:szCs w:val="24"/>
        </w:rPr>
        <w:t xml:space="preserve">a negociación </w:t>
      </w:r>
      <w:r>
        <w:rPr>
          <w:rFonts w:ascii="Tahoma" w:hAnsi="Tahoma" w:cs="Tahoma"/>
          <w:szCs w:val="24"/>
        </w:rPr>
        <w:t>colectiv</w:t>
      </w:r>
      <w:r w:rsidR="0046651E">
        <w:rPr>
          <w:rFonts w:ascii="Tahoma" w:hAnsi="Tahoma" w:cs="Tahoma"/>
          <w:szCs w:val="24"/>
        </w:rPr>
        <w:t>a</w:t>
      </w:r>
      <w:r>
        <w:rPr>
          <w:rFonts w:ascii="Tahoma" w:hAnsi="Tahoma" w:cs="Tahoma"/>
          <w:szCs w:val="24"/>
        </w:rPr>
        <w:t>, s</w:t>
      </w:r>
      <w:r w:rsidRPr="00AA6647">
        <w:rPr>
          <w:rFonts w:ascii="Tahoma" w:hAnsi="Tahoma" w:cs="Tahoma"/>
          <w:szCs w:val="24"/>
        </w:rPr>
        <w:t xml:space="preserve">e ha tratado el régimen transitorio de </w:t>
      </w:r>
      <w:r w:rsidR="0046651E">
        <w:rPr>
          <w:rFonts w:ascii="Tahoma" w:hAnsi="Tahoma" w:cs="Tahoma"/>
          <w:szCs w:val="24"/>
        </w:rPr>
        <w:t>adaptación a la nueva normativa</w:t>
      </w:r>
      <w:r w:rsidRPr="00AA6647">
        <w:rPr>
          <w:rFonts w:ascii="Tahoma" w:hAnsi="Tahoma" w:cs="Tahoma"/>
          <w:szCs w:val="24"/>
        </w:rPr>
        <w:t xml:space="preserve"> de los convenios colectivos firmados antes del 31 de diciembre de 2021. </w:t>
      </w:r>
    </w:p>
    <w:p w14:paraId="0E0F245F" w14:textId="68BF1A12" w:rsidR="00FD1857" w:rsidRDefault="005B7F49" w:rsidP="005B7F49">
      <w:pPr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El </w:t>
      </w:r>
      <w:hyperlink r:id="rId11" w:history="1">
        <w:r w:rsidRPr="00D65E20">
          <w:rPr>
            <w:rStyle w:val="Hipervnculo"/>
            <w:rFonts w:ascii="Tahoma" w:hAnsi="Tahoma" w:cs="Tahoma"/>
            <w:bCs/>
            <w:szCs w:val="24"/>
          </w:rPr>
          <w:t xml:space="preserve">Real Decreto-Ley 32/2021, de 28 de diciembre, de medidas urgentes para la reforma laboral, la garantía de la </w:t>
        </w:r>
        <w:r w:rsidRPr="00D65E20">
          <w:rPr>
            <w:rStyle w:val="Hipervnculo"/>
            <w:rFonts w:ascii="Tahoma" w:hAnsi="Tahoma" w:cs="Tahoma"/>
            <w:bCs/>
            <w:szCs w:val="24"/>
          </w:rPr>
          <w:t>estabilid</w:t>
        </w:r>
        <w:r w:rsidRPr="00D65E20">
          <w:rPr>
            <w:rStyle w:val="Hipervnculo"/>
            <w:rFonts w:ascii="Tahoma" w:hAnsi="Tahoma" w:cs="Tahoma"/>
            <w:bCs/>
            <w:szCs w:val="24"/>
          </w:rPr>
          <w:t>ad en el empleo y la transformación del mercado de trabajo</w:t>
        </w:r>
      </w:hyperlink>
      <w:r>
        <w:rPr>
          <w:rFonts w:ascii="Tahoma" w:hAnsi="Tahoma" w:cs="Tahoma"/>
          <w:bCs/>
          <w:szCs w:val="24"/>
        </w:rPr>
        <w:t>, entró en vigor el pasado 31 de diciembre, con excepciones en determinados apartados, que están marcados  para el 31 de marzo de 2022.</w:t>
      </w:r>
    </w:p>
    <w:p w14:paraId="75F313B8" w14:textId="77777777" w:rsidR="005B7F49" w:rsidRDefault="005B7F49" w:rsidP="005B7F49">
      <w:pPr>
        <w:rPr>
          <w:rFonts w:ascii="Tahoma" w:hAnsi="Tahoma" w:cs="Tahoma"/>
          <w:bCs/>
          <w:szCs w:val="24"/>
        </w:rPr>
      </w:pPr>
    </w:p>
    <w:p w14:paraId="0948776D" w14:textId="77777777" w:rsidR="005B7F49" w:rsidRDefault="005B7F49" w:rsidP="005B7F49">
      <w:pPr>
        <w:rPr>
          <w:rFonts w:ascii="Tahoma" w:hAnsi="Tahoma" w:cs="Tahoma"/>
          <w:bCs/>
          <w:szCs w:val="24"/>
        </w:rPr>
      </w:pPr>
    </w:p>
    <w:sectPr w:rsidR="005B7F49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29C63" w14:textId="77777777" w:rsidR="00CA619B" w:rsidRDefault="00CA619B">
      <w:r>
        <w:separator/>
      </w:r>
    </w:p>
  </w:endnote>
  <w:endnote w:type="continuationSeparator" w:id="0">
    <w:p w14:paraId="29674015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D4939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59CED2B1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1F25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65E20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5E259D7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7F6E10A" wp14:editId="2523EE63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E7D16D1" wp14:editId="4FE13B5F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1CADD2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604520B6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7D16D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D1CADD2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604520B6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0EAF97A3" wp14:editId="0158FFD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E5A9FDC" wp14:editId="05B397D7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5E47FB" w14:textId="77777777" w:rsidR="00A90926" w:rsidRPr="009B267A" w:rsidRDefault="00445C9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0EFC4F10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5A9FDC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6F5E47FB" w14:textId="77777777" w:rsidR="00A90926" w:rsidRPr="009B267A" w:rsidRDefault="00445C9F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0EFC4F10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417B673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5D4B4AC" wp14:editId="5C2412B5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6EEE9CFE" wp14:editId="5309A40C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3E7503A" wp14:editId="4BFDA22D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FBAA6F" w14:textId="77777777" w:rsidR="00A90926" w:rsidRPr="00C00842" w:rsidRDefault="00445C9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E7503A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2AFBAA6F" w14:textId="77777777" w:rsidR="00A90926" w:rsidRPr="00C00842" w:rsidRDefault="00445C9F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C4381C5" wp14:editId="24D65236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355D82" w14:textId="77777777" w:rsidR="00A90926" w:rsidRPr="00C00842" w:rsidRDefault="00445C9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381C5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33355D82" w14:textId="77777777" w:rsidR="00A90926" w:rsidRPr="00C00842" w:rsidRDefault="00445C9F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A548F" w14:textId="77777777" w:rsidR="00CA619B" w:rsidRDefault="00CA619B">
      <w:r>
        <w:separator/>
      </w:r>
    </w:p>
  </w:footnote>
  <w:footnote w:type="continuationSeparator" w:id="0">
    <w:p w14:paraId="586606BD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017E5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564E8458" wp14:editId="1D37FD23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2651929F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22729CDA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21F82ECA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6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8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3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3"/>
  </w:num>
  <w:num w:numId="7">
    <w:abstractNumId w:val="17"/>
  </w:num>
  <w:num w:numId="8">
    <w:abstractNumId w:val="29"/>
  </w:num>
  <w:num w:numId="9">
    <w:abstractNumId w:val="12"/>
  </w:num>
  <w:num w:numId="10">
    <w:abstractNumId w:val="26"/>
  </w:num>
  <w:num w:numId="11">
    <w:abstractNumId w:val="25"/>
  </w:num>
  <w:num w:numId="12">
    <w:abstractNumId w:val="32"/>
  </w:num>
  <w:num w:numId="13">
    <w:abstractNumId w:val="21"/>
  </w:num>
  <w:num w:numId="14">
    <w:abstractNumId w:val="13"/>
  </w:num>
  <w:num w:numId="15">
    <w:abstractNumId w:val="22"/>
  </w:num>
  <w:num w:numId="16">
    <w:abstractNumId w:val="11"/>
  </w:num>
  <w:num w:numId="17">
    <w:abstractNumId w:val="31"/>
  </w:num>
  <w:num w:numId="18">
    <w:abstractNumId w:val="9"/>
  </w:num>
  <w:num w:numId="19">
    <w:abstractNumId w:val="18"/>
  </w:num>
  <w:num w:numId="20">
    <w:abstractNumId w:val="30"/>
  </w:num>
  <w:num w:numId="21">
    <w:abstractNumId w:val="15"/>
  </w:num>
  <w:num w:numId="22">
    <w:abstractNumId w:val="19"/>
  </w:num>
  <w:num w:numId="23">
    <w:abstractNumId w:val="10"/>
  </w:num>
  <w:num w:numId="24">
    <w:abstractNumId w:val="23"/>
  </w:num>
  <w:num w:numId="25">
    <w:abstractNumId w:val="20"/>
  </w:num>
  <w:num w:numId="26">
    <w:abstractNumId w:val="7"/>
  </w:num>
  <w:num w:numId="27">
    <w:abstractNumId w:val="8"/>
  </w:num>
  <w:num w:numId="28">
    <w:abstractNumId w:val="16"/>
  </w:num>
  <w:num w:numId="29">
    <w:abstractNumId w:val="14"/>
  </w:num>
  <w:num w:numId="30">
    <w:abstractNumId w:val="28"/>
  </w:num>
  <w:num w:numId="31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563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C9F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B7F49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5E20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6FE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74081"/>
    <o:shapelayout v:ext="edit">
      <o:idmap v:ext="edit" data="1"/>
    </o:shapelayout>
  </w:shapeDefaults>
  <w:decimalSymbol w:val=","/>
  <w:listSeparator w:val=";"/>
  <w14:docId w14:val="34205B1F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actualidad/normativa-empresarial/item/11643-real-decreto-32-2021-de-28-de-diciembre-de-medidas-urgentes-para-la-reforma-laboral-la-garantia-de-la-estabilidad-en-el-empleo-y-la-transformacion-del-mercado-de-trabajo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actualidad/normativa-empresarial/item/download/3406_5a1cdf1b711cd33db77af35eb32546e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servicios/defensa-jurid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1E854-2CA5-4D05-A126-364900003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467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3411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4</cp:revision>
  <cp:lastPrinted>2021-03-16T11:17:00Z</cp:lastPrinted>
  <dcterms:created xsi:type="dcterms:W3CDTF">2022-02-25T09:16:00Z</dcterms:created>
  <dcterms:modified xsi:type="dcterms:W3CDTF">2022-02-25T10:40:00Z</dcterms:modified>
</cp:coreProperties>
</file>