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564D2C" w:rsidRDefault="00564D2C" w:rsidP="00E63862">
      <w:pPr>
        <w:jc w:val="right"/>
        <w:rPr>
          <w:rFonts w:ascii="Tahoma" w:hAnsi="Tahoma" w:cs="Tahoma"/>
          <w:bCs/>
          <w:sz w:val="22"/>
          <w:szCs w:val="22"/>
        </w:rPr>
      </w:pPr>
    </w:p>
    <w:p w:rsidR="00E63862" w:rsidRPr="00A23006" w:rsidRDefault="0082053F" w:rsidP="00E63862">
      <w:pPr>
        <w:jc w:val="right"/>
        <w:rPr>
          <w:rFonts w:ascii="Tahoma" w:hAnsi="Tahoma" w:cs="Tahoma"/>
          <w:bCs/>
          <w:sz w:val="22"/>
          <w:szCs w:val="22"/>
        </w:rPr>
      </w:pPr>
      <w:r w:rsidRPr="00A23006">
        <w:rPr>
          <w:rFonts w:ascii="Tahoma" w:hAnsi="Tahoma" w:cs="Tahoma"/>
          <w:bCs/>
          <w:sz w:val="22"/>
          <w:szCs w:val="22"/>
        </w:rPr>
        <w:t xml:space="preserve">Albacete, </w:t>
      </w:r>
      <w:r w:rsidR="00564D2C">
        <w:rPr>
          <w:rFonts w:ascii="Tahoma" w:hAnsi="Tahoma" w:cs="Tahoma"/>
          <w:bCs/>
          <w:sz w:val="22"/>
          <w:szCs w:val="22"/>
        </w:rPr>
        <w:t>7</w:t>
      </w:r>
      <w:r w:rsidR="00405CF2" w:rsidRPr="00A23006">
        <w:rPr>
          <w:rFonts w:ascii="Tahoma" w:hAnsi="Tahoma" w:cs="Tahoma"/>
          <w:bCs/>
          <w:sz w:val="22"/>
          <w:szCs w:val="22"/>
        </w:rPr>
        <w:t xml:space="preserve"> marzo</w:t>
      </w:r>
      <w:r w:rsidR="009406A2" w:rsidRPr="00A23006">
        <w:rPr>
          <w:rFonts w:ascii="Tahoma" w:hAnsi="Tahoma" w:cs="Tahoma"/>
          <w:bCs/>
          <w:sz w:val="22"/>
          <w:szCs w:val="22"/>
        </w:rPr>
        <w:t xml:space="preserve"> de</w:t>
      </w:r>
      <w:r w:rsidRPr="00A23006">
        <w:rPr>
          <w:rFonts w:ascii="Tahoma" w:hAnsi="Tahoma" w:cs="Tahoma"/>
          <w:bCs/>
          <w:sz w:val="22"/>
          <w:szCs w:val="22"/>
        </w:rPr>
        <w:t xml:space="preserve"> 202</w:t>
      </w:r>
      <w:r w:rsidR="00044A60" w:rsidRPr="00A23006">
        <w:rPr>
          <w:rFonts w:ascii="Tahoma" w:hAnsi="Tahoma" w:cs="Tahoma"/>
          <w:bCs/>
          <w:sz w:val="22"/>
          <w:szCs w:val="22"/>
        </w:rPr>
        <w:t>2</w:t>
      </w:r>
    </w:p>
    <w:p w:rsidR="00564D2C" w:rsidRDefault="00564D2C" w:rsidP="00564D2C">
      <w:pPr>
        <w:jc w:val="center"/>
        <w:rPr>
          <w:rFonts w:ascii="Tahoma" w:hAnsi="Tahoma" w:cs="Tahoma"/>
          <w:b/>
          <w:sz w:val="32"/>
          <w:szCs w:val="32"/>
        </w:rPr>
      </w:pPr>
    </w:p>
    <w:p w:rsidR="00564D2C" w:rsidRPr="00564D2C" w:rsidRDefault="00564D2C" w:rsidP="00564D2C">
      <w:pPr>
        <w:jc w:val="center"/>
        <w:rPr>
          <w:rFonts w:ascii="Tahoma" w:hAnsi="Tahoma" w:cs="Tahoma"/>
          <w:b/>
          <w:sz w:val="32"/>
          <w:szCs w:val="32"/>
        </w:rPr>
      </w:pPr>
      <w:r w:rsidRPr="00564D2C">
        <w:rPr>
          <w:rFonts w:ascii="Tahoma" w:hAnsi="Tahoma" w:cs="Tahoma"/>
          <w:b/>
          <w:sz w:val="32"/>
          <w:szCs w:val="32"/>
        </w:rPr>
        <w:t xml:space="preserve">El Foro de Apoyo a la Inversión de FEDA pone el foco en </w:t>
      </w:r>
      <w:r>
        <w:rPr>
          <w:rFonts w:ascii="Tahoma" w:hAnsi="Tahoma" w:cs="Tahoma"/>
          <w:b/>
          <w:sz w:val="32"/>
          <w:szCs w:val="32"/>
        </w:rPr>
        <w:t xml:space="preserve">el interés de las empresas en </w:t>
      </w:r>
      <w:r w:rsidRPr="00564D2C">
        <w:rPr>
          <w:rFonts w:ascii="Tahoma" w:hAnsi="Tahoma" w:cs="Tahoma"/>
          <w:b/>
          <w:sz w:val="32"/>
          <w:szCs w:val="32"/>
        </w:rPr>
        <w:t>los fondos europeos</w:t>
      </w:r>
    </w:p>
    <w:p w:rsidR="00564D2C" w:rsidRPr="00BB61F3" w:rsidRDefault="00564D2C" w:rsidP="00564D2C">
      <w:pPr>
        <w:rPr>
          <w:sz w:val="52"/>
          <w:szCs w:val="52"/>
        </w:rPr>
      </w:pPr>
    </w:p>
    <w:p w:rsidR="00564D2C" w:rsidRPr="00564D2C" w:rsidRDefault="00564D2C" w:rsidP="0085666A">
      <w:pPr>
        <w:pStyle w:val="Prrafodelista"/>
        <w:numPr>
          <w:ilvl w:val="0"/>
          <w:numId w:val="34"/>
        </w:numPr>
        <w:jc w:val="center"/>
        <w:rPr>
          <w:rFonts w:ascii="Tahoma" w:hAnsi="Tahoma" w:cs="Tahoma"/>
          <w:b/>
        </w:rPr>
      </w:pPr>
      <w:r w:rsidRPr="00564D2C">
        <w:rPr>
          <w:rFonts w:ascii="Tahoma" w:hAnsi="Tahoma" w:cs="Tahoma"/>
          <w:b/>
        </w:rPr>
        <w:t>Más de 40 empresas se interesaron por las opciones de financiación e inversión pública y privada</w:t>
      </w:r>
    </w:p>
    <w:p w:rsidR="00564D2C" w:rsidRDefault="00564D2C" w:rsidP="00564D2C">
      <w:pPr>
        <w:pStyle w:val="Prrafodelista"/>
        <w:numPr>
          <w:ilvl w:val="0"/>
          <w:numId w:val="34"/>
        </w:numPr>
        <w:jc w:val="center"/>
        <w:rPr>
          <w:rFonts w:ascii="Tahoma" w:hAnsi="Tahoma" w:cs="Tahoma"/>
          <w:b/>
        </w:rPr>
      </w:pPr>
      <w:r w:rsidRPr="00564D2C">
        <w:rPr>
          <w:rFonts w:ascii="Tahoma" w:hAnsi="Tahoma" w:cs="Tahoma"/>
          <w:b/>
        </w:rPr>
        <w:t>El Servicio de Apoyo a la Inversión de la Confederación cuenta con un 95% de porcentaje de solicitudes de financiación aprobadas</w:t>
      </w:r>
    </w:p>
    <w:p w:rsidR="00564D2C" w:rsidRPr="00564D2C" w:rsidRDefault="00564D2C" w:rsidP="00AA24B0">
      <w:pPr>
        <w:pStyle w:val="Prrafodelista"/>
        <w:numPr>
          <w:ilvl w:val="0"/>
          <w:numId w:val="34"/>
        </w:numPr>
        <w:jc w:val="center"/>
        <w:rPr>
          <w:rFonts w:ascii="Tahoma" w:hAnsi="Tahoma" w:cs="Tahoma"/>
        </w:rPr>
      </w:pPr>
      <w:r w:rsidRPr="00564D2C">
        <w:rPr>
          <w:rFonts w:ascii="Tahoma" w:hAnsi="Tahoma" w:cs="Tahoma"/>
          <w:b/>
        </w:rPr>
        <w:t xml:space="preserve">El director general de Empresas expuso las 10 medidas </w:t>
      </w:r>
      <w:r w:rsidRPr="00564D2C">
        <w:rPr>
          <w:rFonts w:ascii="Tahoma" w:hAnsi="Tahoma" w:cs="Tahoma"/>
          <w:b/>
        </w:rPr>
        <w:t xml:space="preserve">contempladas en el Plan Avanza </w:t>
      </w:r>
      <w:r w:rsidRPr="00564D2C">
        <w:rPr>
          <w:rFonts w:ascii="Tahoma" w:hAnsi="Tahoma" w:cs="Tahoma"/>
          <w:b/>
        </w:rPr>
        <w:t xml:space="preserve">del Gobierno regional </w:t>
      </w:r>
    </w:p>
    <w:p w:rsidR="00564D2C" w:rsidRPr="00564D2C" w:rsidRDefault="00564D2C" w:rsidP="00564D2C">
      <w:pPr>
        <w:pStyle w:val="Prrafodelista"/>
        <w:rPr>
          <w:rFonts w:ascii="Tahoma" w:hAnsi="Tahoma" w:cs="Tahoma"/>
        </w:rPr>
      </w:pPr>
    </w:p>
    <w:p w:rsidR="00564D2C" w:rsidRDefault="00564D2C" w:rsidP="00564D2C">
      <w:pPr>
        <w:rPr>
          <w:rFonts w:ascii="Tahoma" w:hAnsi="Tahoma" w:cs="Tahoma"/>
          <w:sz w:val="22"/>
          <w:szCs w:val="22"/>
        </w:rPr>
      </w:pPr>
      <w:r w:rsidRPr="00564D2C">
        <w:rPr>
          <w:rFonts w:ascii="Tahoma" w:hAnsi="Tahoma" w:cs="Tahoma"/>
          <w:sz w:val="22"/>
          <w:szCs w:val="22"/>
        </w:rPr>
        <w:t xml:space="preserve">Más de 40 empresas participaron en el IV Foro de Apoyo a la Inversión organizado por la Confederación de Empresarios de Albacete (FEDA) y su </w:t>
      </w:r>
      <w:hyperlink r:id="rId8" w:history="1">
        <w:r w:rsidRPr="00564D2C">
          <w:rPr>
            <w:rStyle w:val="Hipervnculo"/>
            <w:rFonts w:ascii="Tahoma" w:hAnsi="Tahoma" w:cs="Tahoma"/>
            <w:sz w:val="22"/>
            <w:szCs w:val="22"/>
          </w:rPr>
          <w:t>Enterprise Europe Network</w:t>
        </w:r>
      </w:hyperlink>
      <w:r w:rsidRPr="00564D2C">
        <w:rPr>
          <w:rFonts w:ascii="Tahoma" w:hAnsi="Tahoma" w:cs="Tahoma"/>
          <w:sz w:val="22"/>
          <w:szCs w:val="22"/>
        </w:rPr>
        <w:t xml:space="preserve">, con la colaboración de nuestro stakeholder BBVA. Un evento que puso el foco en los Fondos Next Generation, con la participación de expertos en la materia y la aportación de Argo Jeans y Anigma, empresas socias de la Confederación mostrando sus experiencias. </w:t>
      </w:r>
    </w:p>
    <w:p w:rsidR="00564D2C" w:rsidRPr="00564D2C" w:rsidRDefault="00564D2C" w:rsidP="00564D2C">
      <w:pPr>
        <w:rPr>
          <w:rFonts w:ascii="Tahoma" w:hAnsi="Tahoma" w:cs="Tahoma"/>
          <w:sz w:val="22"/>
          <w:szCs w:val="22"/>
        </w:rPr>
      </w:pPr>
    </w:p>
    <w:p w:rsidR="00564D2C" w:rsidRDefault="00564D2C" w:rsidP="00564D2C">
      <w:pPr>
        <w:rPr>
          <w:rFonts w:ascii="Tahoma" w:hAnsi="Tahoma" w:cs="Tahoma"/>
          <w:sz w:val="22"/>
          <w:szCs w:val="22"/>
        </w:rPr>
      </w:pPr>
      <w:r w:rsidRPr="00564D2C">
        <w:rPr>
          <w:rFonts w:ascii="Tahoma" w:hAnsi="Tahoma" w:cs="Tahoma"/>
          <w:sz w:val="22"/>
          <w:szCs w:val="22"/>
        </w:rPr>
        <w:t xml:space="preserve">Artemio Pérez Alfaro, presidente de </w:t>
      </w:r>
      <w:hyperlink r:id="rId9" w:history="1">
        <w:r w:rsidRPr="00564D2C">
          <w:rPr>
            <w:rStyle w:val="Hipervnculo"/>
            <w:rFonts w:ascii="Tahoma" w:hAnsi="Tahoma" w:cs="Tahoma"/>
            <w:sz w:val="22"/>
            <w:szCs w:val="22"/>
          </w:rPr>
          <w:t>FEDA</w:t>
        </w:r>
      </w:hyperlink>
      <w:r w:rsidRPr="00564D2C">
        <w:rPr>
          <w:rFonts w:ascii="Tahoma" w:hAnsi="Tahoma" w:cs="Tahoma"/>
          <w:sz w:val="22"/>
          <w:szCs w:val="22"/>
        </w:rPr>
        <w:t>, hizo hincapié en cómo estas dos empresas apostaron “por la modernización clara y contundente, tanto en digitalización como en eficiencia energética o</w:t>
      </w:r>
      <w:r>
        <w:rPr>
          <w:rFonts w:ascii="Tahoma" w:hAnsi="Tahoma" w:cs="Tahoma"/>
          <w:sz w:val="22"/>
          <w:szCs w:val="22"/>
        </w:rPr>
        <w:t xml:space="preserve"> innovación”, señalando que el </w:t>
      </w:r>
      <w:hyperlink r:id="rId10" w:history="1">
        <w:r w:rsidRPr="00564D2C">
          <w:rPr>
            <w:rStyle w:val="Hipervnculo"/>
            <w:rFonts w:ascii="Tahoma" w:hAnsi="Tahoma" w:cs="Tahoma"/>
            <w:sz w:val="22"/>
            <w:szCs w:val="22"/>
          </w:rPr>
          <w:t>Servicio de Apoyo a la Inversión de FEDA</w:t>
        </w:r>
      </w:hyperlink>
      <w:r w:rsidRPr="00564D2C">
        <w:rPr>
          <w:rFonts w:ascii="Tahoma" w:hAnsi="Tahoma" w:cs="Tahoma"/>
          <w:sz w:val="22"/>
          <w:szCs w:val="22"/>
        </w:rPr>
        <w:t xml:space="preserve"> “ha trabajado directamente para este objetivo”.</w:t>
      </w:r>
    </w:p>
    <w:p w:rsidR="00564D2C" w:rsidRPr="00564D2C" w:rsidRDefault="00564D2C" w:rsidP="00564D2C">
      <w:pPr>
        <w:rPr>
          <w:rFonts w:ascii="Tahoma" w:hAnsi="Tahoma" w:cs="Tahoma"/>
          <w:sz w:val="22"/>
          <w:szCs w:val="22"/>
        </w:rPr>
      </w:pPr>
    </w:p>
    <w:p w:rsidR="00564D2C" w:rsidRDefault="00564D2C" w:rsidP="00564D2C">
      <w:pPr>
        <w:rPr>
          <w:rFonts w:ascii="Tahoma" w:hAnsi="Tahoma" w:cs="Tahoma"/>
          <w:sz w:val="22"/>
          <w:szCs w:val="22"/>
        </w:rPr>
      </w:pPr>
      <w:r w:rsidRPr="00564D2C">
        <w:rPr>
          <w:rFonts w:ascii="Tahoma" w:hAnsi="Tahoma" w:cs="Tahoma"/>
          <w:sz w:val="22"/>
          <w:szCs w:val="22"/>
        </w:rPr>
        <w:t>En este intercambio de experiencias participaron Juan Pablo González y Carlos La Orden, por parte de Argo Jean y Anigma, respectivamente. Junto a ellos estuvo Évelin R. Molano, responsable del Departamento de Asociaciones, Áreas Técnicas y Proyectos de FEDA, en un debate moderado por Francisco Martínez, de Capazita.</w:t>
      </w:r>
    </w:p>
    <w:p w:rsidR="00564D2C" w:rsidRPr="00564D2C" w:rsidRDefault="00564D2C" w:rsidP="00564D2C">
      <w:pPr>
        <w:rPr>
          <w:rFonts w:ascii="Tahoma" w:hAnsi="Tahoma" w:cs="Tahoma"/>
          <w:sz w:val="22"/>
          <w:szCs w:val="22"/>
        </w:rPr>
      </w:pPr>
    </w:p>
    <w:p w:rsidR="00564D2C" w:rsidRDefault="00564D2C" w:rsidP="00564D2C">
      <w:pPr>
        <w:rPr>
          <w:rFonts w:ascii="Tahoma" w:hAnsi="Tahoma" w:cs="Tahoma"/>
          <w:sz w:val="22"/>
          <w:szCs w:val="22"/>
        </w:rPr>
      </w:pPr>
      <w:r w:rsidRPr="00564D2C">
        <w:rPr>
          <w:rFonts w:ascii="Tahoma" w:hAnsi="Tahoma" w:cs="Tahoma"/>
          <w:sz w:val="22"/>
          <w:szCs w:val="22"/>
        </w:rPr>
        <w:t>En la conversación entre ellos, Juan Pablo González señaló que la clave del éxito de Argo Jean “es el instinto de querer ir más allá”, pensando siempre “cómo hacerlo mejor y ofrecer cosas nuevas”. Eso les llevó a buscar financiación para ir creciendo, apoyándose en la Confederación. En la misma línea contó su experiencia Carlos La Orden, que destacó que “la clave es evolucionar porque el mercado te exige que sigas invirtiendo”.</w:t>
      </w:r>
    </w:p>
    <w:p w:rsidR="00564D2C" w:rsidRPr="00564D2C" w:rsidRDefault="00564D2C" w:rsidP="00564D2C">
      <w:pPr>
        <w:rPr>
          <w:rFonts w:ascii="Tahoma" w:hAnsi="Tahoma" w:cs="Tahoma"/>
          <w:sz w:val="22"/>
          <w:szCs w:val="22"/>
        </w:rPr>
      </w:pPr>
    </w:p>
    <w:p w:rsidR="00564D2C" w:rsidRDefault="00564D2C" w:rsidP="00564D2C">
      <w:pPr>
        <w:rPr>
          <w:rFonts w:ascii="Tahoma" w:hAnsi="Tahoma" w:cs="Tahoma"/>
          <w:sz w:val="22"/>
          <w:szCs w:val="22"/>
        </w:rPr>
      </w:pPr>
      <w:r w:rsidRPr="00564D2C">
        <w:rPr>
          <w:rFonts w:ascii="Tahoma" w:hAnsi="Tahoma" w:cs="Tahoma"/>
          <w:sz w:val="22"/>
          <w:szCs w:val="22"/>
        </w:rPr>
        <w:t xml:space="preserve">En este sentido, </w:t>
      </w:r>
      <w:hyperlink r:id="rId11" w:history="1">
        <w:r w:rsidRPr="00564D2C">
          <w:rPr>
            <w:rStyle w:val="Hipervnculo"/>
            <w:rFonts w:ascii="Tahoma" w:hAnsi="Tahoma" w:cs="Tahoma"/>
            <w:sz w:val="22"/>
            <w:szCs w:val="22"/>
          </w:rPr>
          <w:t>Évelin R. Molano</w:t>
        </w:r>
      </w:hyperlink>
      <w:r w:rsidRPr="00564D2C">
        <w:rPr>
          <w:rFonts w:ascii="Tahoma" w:hAnsi="Tahoma" w:cs="Tahoma"/>
          <w:sz w:val="22"/>
          <w:szCs w:val="22"/>
        </w:rPr>
        <w:t xml:space="preserve"> destacó el trabajo del Servicio de Apoyo a la Inversión de FEDA, trabajando con proyectos viables, bien estudiados, que ha permitido que la Confederación cuente con un 95% de porcentaje de solicitudes de financiación aprobadas. Para ello, señaló, “informamos a tiempo, hacemos un filtro previo en todos los sectores, tenemos a nuestro partner Capazita que filtra la parte administrativa y, lo más importante, somos sinceros, porque hay proyectos que no encajan en ninguna línea de financiación”.</w:t>
      </w:r>
    </w:p>
    <w:p w:rsidR="00564D2C" w:rsidRDefault="00564D2C" w:rsidP="00564D2C">
      <w:pPr>
        <w:rPr>
          <w:rFonts w:ascii="Tahoma" w:hAnsi="Tahoma" w:cs="Tahoma"/>
          <w:sz w:val="22"/>
          <w:szCs w:val="22"/>
        </w:rPr>
      </w:pPr>
    </w:p>
    <w:p w:rsidR="00564D2C" w:rsidRDefault="00564D2C" w:rsidP="00564D2C">
      <w:pPr>
        <w:rPr>
          <w:rFonts w:ascii="Tahoma" w:hAnsi="Tahoma" w:cs="Tahoma"/>
          <w:sz w:val="22"/>
          <w:szCs w:val="22"/>
        </w:rPr>
      </w:pPr>
    </w:p>
    <w:p w:rsidR="00564D2C" w:rsidRDefault="00564D2C" w:rsidP="00564D2C">
      <w:pPr>
        <w:rPr>
          <w:rFonts w:ascii="Tahoma" w:hAnsi="Tahoma" w:cs="Tahoma"/>
          <w:sz w:val="22"/>
          <w:szCs w:val="22"/>
        </w:rPr>
      </w:pPr>
    </w:p>
    <w:p w:rsidR="00564D2C" w:rsidRDefault="00564D2C" w:rsidP="00564D2C">
      <w:pPr>
        <w:rPr>
          <w:rFonts w:ascii="Tahoma" w:hAnsi="Tahoma" w:cs="Tahoma"/>
          <w:sz w:val="22"/>
          <w:szCs w:val="22"/>
        </w:rPr>
      </w:pPr>
    </w:p>
    <w:p w:rsidR="00564D2C" w:rsidRPr="00564D2C" w:rsidRDefault="00564D2C" w:rsidP="00564D2C">
      <w:pPr>
        <w:rPr>
          <w:rFonts w:ascii="Tahoma" w:hAnsi="Tahoma" w:cs="Tahoma"/>
          <w:sz w:val="22"/>
          <w:szCs w:val="22"/>
        </w:rPr>
      </w:pPr>
    </w:p>
    <w:p w:rsidR="00564D2C" w:rsidRDefault="00564D2C" w:rsidP="00564D2C">
      <w:pPr>
        <w:rPr>
          <w:rFonts w:ascii="Tahoma" w:hAnsi="Tahoma" w:cs="Tahoma"/>
          <w:b/>
          <w:sz w:val="22"/>
          <w:szCs w:val="22"/>
        </w:rPr>
      </w:pPr>
      <w:r w:rsidRPr="00564D2C">
        <w:rPr>
          <w:rFonts w:ascii="Tahoma" w:hAnsi="Tahoma" w:cs="Tahoma"/>
          <w:b/>
          <w:sz w:val="22"/>
          <w:szCs w:val="22"/>
        </w:rPr>
        <w:t>Fondos Next Generation</w:t>
      </w:r>
    </w:p>
    <w:p w:rsidR="00564D2C" w:rsidRPr="00564D2C" w:rsidRDefault="00564D2C" w:rsidP="00564D2C">
      <w:pPr>
        <w:rPr>
          <w:rFonts w:ascii="Tahoma" w:hAnsi="Tahoma" w:cs="Tahoma"/>
          <w:b/>
          <w:sz w:val="22"/>
          <w:szCs w:val="22"/>
        </w:rPr>
      </w:pPr>
    </w:p>
    <w:p w:rsidR="00564D2C" w:rsidRDefault="00564D2C" w:rsidP="00564D2C">
      <w:pPr>
        <w:rPr>
          <w:rFonts w:ascii="Tahoma" w:hAnsi="Tahoma" w:cs="Tahoma"/>
          <w:sz w:val="22"/>
          <w:szCs w:val="22"/>
        </w:rPr>
      </w:pPr>
      <w:r w:rsidRPr="00564D2C">
        <w:rPr>
          <w:rFonts w:ascii="Tahoma" w:hAnsi="Tahoma" w:cs="Tahoma"/>
          <w:sz w:val="22"/>
          <w:szCs w:val="22"/>
        </w:rPr>
        <w:t>El IV Foro de Apoyo a la Inversión contó con las in</w:t>
      </w:r>
      <w:r>
        <w:rPr>
          <w:rFonts w:ascii="Tahoma" w:hAnsi="Tahoma" w:cs="Tahoma"/>
          <w:sz w:val="22"/>
          <w:szCs w:val="22"/>
        </w:rPr>
        <w:t xml:space="preserve">tervenciones de </w:t>
      </w:r>
      <w:hyperlink r:id="rId12" w:history="1">
        <w:r w:rsidRPr="00564D2C">
          <w:rPr>
            <w:rStyle w:val="Hipervnculo"/>
            <w:rFonts w:ascii="Tahoma" w:hAnsi="Tahoma" w:cs="Tahoma"/>
            <w:sz w:val="22"/>
            <w:szCs w:val="22"/>
          </w:rPr>
          <w:t>Javier Rosell, director general de Empresas de la Junta de Comunidades de Castilla-La Mancha</w:t>
        </w:r>
      </w:hyperlink>
      <w:r w:rsidRPr="00564D2C">
        <w:rPr>
          <w:rFonts w:ascii="Tahoma" w:hAnsi="Tahoma" w:cs="Tahoma"/>
          <w:sz w:val="22"/>
          <w:szCs w:val="22"/>
        </w:rPr>
        <w:t>; David Sánchez, consultor financiero de Capazita; Christian García, responsable de Pymes en Albacete de BBVA; y José Javier García, experto evaluador de proyectos con fondos europeos.</w:t>
      </w:r>
    </w:p>
    <w:p w:rsidR="00564D2C" w:rsidRPr="00564D2C" w:rsidRDefault="00564D2C" w:rsidP="00564D2C">
      <w:pPr>
        <w:rPr>
          <w:rFonts w:ascii="Tahoma" w:hAnsi="Tahoma" w:cs="Tahoma"/>
          <w:sz w:val="22"/>
          <w:szCs w:val="22"/>
        </w:rPr>
      </w:pPr>
    </w:p>
    <w:p w:rsidR="00564D2C" w:rsidRDefault="00564D2C" w:rsidP="00564D2C">
      <w:pPr>
        <w:rPr>
          <w:rFonts w:ascii="Tahoma" w:hAnsi="Tahoma" w:cs="Tahoma"/>
          <w:sz w:val="22"/>
          <w:szCs w:val="22"/>
        </w:rPr>
      </w:pPr>
      <w:r>
        <w:rPr>
          <w:rFonts w:ascii="Tahoma" w:hAnsi="Tahoma" w:cs="Tahoma"/>
          <w:sz w:val="22"/>
          <w:szCs w:val="22"/>
        </w:rPr>
        <w:t>El director g</w:t>
      </w:r>
      <w:r w:rsidRPr="00564D2C">
        <w:rPr>
          <w:rFonts w:ascii="Tahoma" w:hAnsi="Tahoma" w:cs="Tahoma"/>
          <w:sz w:val="22"/>
          <w:szCs w:val="22"/>
        </w:rPr>
        <w:t xml:space="preserve">eneral de Empresas de Castilla-La Mancha expuso en este Foro las 10 medidas contempladas en el Plan Avanza de la JCCM, recordando que tiene como ejes vectores la sostenibilidad, la digitalización, la igualdad de género y la vertebración del territorio. En este sentido, Javier Rosell pidió “unidad” para aprovechar todos los fondos de recuperación en colaboración con el Gobierno regional, las organizaciones empresariales, los sindicatos y las Diputaciones para hacerlos realidad también en el ámbito local. </w:t>
      </w:r>
    </w:p>
    <w:p w:rsidR="00564D2C" w:rsidRPr="00564D2C" w:rsidRDefault="00564D2C" w:rsidP="00564D2C">
      <w:pPr>
        <w:rPr>
          <w:rFonts w:ascii="Tahoma" w:hAnsi="Tahoma" w:cs="Tahoma"/>
          <w:sz w:val="22"/>
          <w:szCs w:val="22"/>
        </w:rPr>
      </w:pPr>
    </w:p>
    <w:p w:rsidR="00564D2C" w:rsidRDefault="00564D2C" w:rsidP="00564D2C">
      <w:pPr>
        <w:rPr>
          <w:rFonts w:ascii="Tahoma" w:hAnsi="Tahoma" w:cs="Tahoma"/>
          <w:sz w:val="22"/>
          <w:szCs w:val="22"/>
        </w:rPr>
      </w:pPr>
      <w:r w:rsidRPr="00564D2C">
        <w:rPr>
          <w:rFonts w:ascii="Tahoma" w:hAnsi="Tahoma" w:cs="Tahoma"/>
          <w:sz w:val="22"/>
          <w:szCs w:val="22"/>
        </w:rPr>
        <w:t xml:space="preserve">Christian García habló sobre la financiación bancaria en proyectos de los Fondos Next Generation, destacando que ‘Préstamo Anticipo Pyme’, ‘Préstamos Pymes NGEU’ y ‘Leasing Mobiliario NGEU’ son herramientas de financiación que tiene BBVA para los empresarios que quieran acceder a los fondos europeos. </w:t>
      </w:r>
    </w:p>
    <w:p w:rsidR="00564D2C" w:rsidRPr="00564D2C" w:rsidRDefault="00564D2C" w:rsidP="00564D2C">
      <w:pPr>
        <w:rPr>
          <w:rFonts w:ascii="Tahoma" w:hAnsi="Tahoma" w:cs="Tahoma"/>
          <w:sz w:val="22"/>
          <w:szCs w:val="22"/>
        </w:rPr>
      </w:pPr>
    </w:p>
    <w:p w:rsidR="00564D2C" w:rsidRDefault="00564D2C" w:rsidP="00564D2C">
      <w:pPr>
        <w:rPr>
          <w:rFonts w:ascii="Tahoma" w:hAnsi="Tahoma" w:cs="Tahoma"/>
          <w:sz w:val="22"/>
          <w:szCs w:val="22"/>
        </w:rPr>
      </w:pPr>
      <w:r w:rsidRPr="00564D2C">
        <w:rPr>
          <w:rFonts w:ascii="Tahoma" w:hAnsi="Tahoma" w:cs="Tahoma"/>
          <w:sz w:val="22"/>
          <w:szCs w:val="22"/>
        </w:rPr>
        <w:t>El consultor financiero David Sánchez detalló en su turno qué proyectos serán subvencionables este 2022 y cómo acceder a ellos: “La movilidad sostenible o la digitalización serán algunos de los sectores que recibirán bastante inversión de los Fondos Next</w:t>
      </w:r>
      <w:bookmarkStart w:id="0" w:name="_GoBack"/>
      <w:bookmarkEnd w:id="0"/>
      <w:r w:rsidRPr="00564D2C">
        <w:rPr>
          <w:rFonts w:ascii="Tahoma" w:hAnsi="Tahoma" w:cs="Tahoma"/>
          <w:sz w:val="22"/>
          <w:szCs w:val="22"/>
        </w:rPr>
        <w:t xml:space="preserve"> Generation”. </w:t>
      </w:r>
    </w:p>
    <w:p w:rsidR="00564D2C" w:rsidRPr="00564D2C" w:rsidRDefault="00564D2C" w:rsidP="00564D2C">
      <w:pPr>
        <w:rPr>
          <w:rFonts w:ascii="Tahoma" w:hAnsi="Tahoma" w:cs="Tahoma"/>
          <w:sz w:val="22"/>
          <w:szCs w:val="22"/>
        </w:rPr>
      </w:pPr>
    </w:p>
    <w:p w:rsidR="00A23006" w:rsidRPr="00564D2C" w:rsidRDefault="00564D2C" w:rsidP="00564D2C">
      <w:pPr>
        <w:rPr>
          <w:rFonts w:ascii="Tahoma" w:hAnsi="Tahoma" w:cs="Tahoma"/>
          <w:b/>
          <w:sz w:val="22"/>
          <w:szCs w:val="22"/>
        </w:rPr>
      </w:pPr>
      <w:r w:rsidRPr="00564D2C">
        <w:rPr>
          <w:rFonts w:ascii="Tahoma" w:hAnsi="Tahoma" w:cs="Tahoma"/>
          <w:sz w:val="22"/>
          <w:szCs w:val="22"/>
        </w:rPr>
        <w:t>Por su parte, José Javier García dio detalles reales sobre cómo buscar la financiación de los fondos europeos. “Subvenciones hay. Si sabes pedirlas, te las conceden. Y si las justificas, te las pagan”, señaló, destacando que “a la hora de solicitar financiación es muy importante tener una buena fotografía financiera de la situación real de la empresa para así presentar un proyecto más completo”. En este sentido, avisó que “en otros países de la Unión Europea la cultura de los fondos europeos está más asentada y lo canalizan mejor que aquí en Españ</w:t>
      </w:r>
      <w:r>
        <w:rPr>
          <w:rFonts w:ascii="Tahoma" w:hAnsi="Tahoma" w:cs="Tahoma"/>
          <w:sz w:val="22"/>
          <w:szCs w:val="22"/>
        </w:rPr>
        <w:t>a”.</w:t>
      </w:r>
    </w:p>
    <w:sectPr w:rsidR="00A23006" w:rsidRPr="00564D2C" w:rsidSect="000D4D85">
      <w:headerReference w:type="default" r:id="rId13"/>
      <w:footerReference w:type="even" r:id="rId14"/>
      <w:footerReference w:type="default" r:id="rId15"/>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6C13B0">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6C13B0"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A23006"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6C13B0"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A2300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6C13B0"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A2300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4983DBD"/>
    <w:multiLevelType w:val="hybridMultilevel"/>
    <w:tmpl w:val="535C84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19D5446"/>
    <w:multiLevelType w:val="hybridMultilevel"/>
    <w:tmpl w:val="7D0EE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F6B5204"/>
    <w:multiLevelType w:val="hybridMultilevel"/>
    <w:tmpl w:val="4C780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8"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9831DE9"/>
    <w:multiLevelType w:val="hybridMultilevel"/>
    <w:tmpl w:val="7BB40D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1"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36"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0"/>
  </w:num>
  <w:num w:numId="2">
    <w:abstractNumId w:val="6"/>
  </w:num>
  <w:num w:numId="3">
    <w:abstractNumId w:val="2"/>
  </w:num>
  <w:num w:numId="4">
    <w:abstractNumId w:val="1"/>
  </w:num>
  <w:num w:numId="5">
    <w:abstractNumId w:val="0"/>
  </w:num>
  <w:num w:numId="6">
    <w:abstractNumId w:val="36"/>
  </w:num>
  <w:num w:numId="7">
    <w:abstractNumId w:val="18"/>
  </w:num>
  <w:num w:numId="8">
    <w:abstractNumId w:val="32"/>
  </w:num>
  <w:num w:numId="9">
    <w:abstractNumId w:val="13"/>
  </w:num>
  <w:num w:numId="10">
    <w:abstractNumId w:val="28"/>
  </w:num>
  <w:num w:numId="11">
    <w:abstractNumId w:val="27"/>
  </w:num>
  <w:num w:numId="12">
    <w:abstractNumId w:val="35"/>
  </w:num>
  <w:num w:numId="13">
    <w:abstractNumId w:val="23"/>
  </w:num>
  <w:num w:numId="14">
    <w:abstractNumId w:val="14"/>
  </w:num>
  <w:num w:numId="15">
    <w:abstractNumId w:val="24"/>
  </w:num>
  <w:num w:numId="16">
    <w:abstractNumId w:val="12"/>
  </w:num>
  <w:num w:numId="17">
    <w:abstractNumId w:val="34"/>
  </w:num>
  <w:num w:numId="18">
    <w:abstractNumId w:val="9"/>
  </w:num>
  <w:num w:numId="19">
    <w:abstractNumId w:val="19"/>
  </w:num>
  <w:num w:numId="20">
    <w:abstractNumId w:val="33"/>
  </w:num>
  <w:num w:numId="21">
    <w:abstractNumId w:val="16"/>
  </w:num>
  <w:num w:numId="22">
    <w:abstractNumId w:val="20"/>
  </w:num>
  <w:num w:numId="23">
    <w:abstractNumId w:val="11"/>
  </w:num>
  <w:num w:numId="24">
    <w:abstractNumId w:val="25"/>
  </w:num>
  <w:num w:numId="25">
    <w:abstractNumId w:val="22"/>
  </w:num>
  <w:num w:numId="26">
    <w:abstractNumId w:val="7"/>
  </w:num>
  <w:num w:numId="27">
    <w:abstractNumId w:val="8"/>
  </w:num>
  <w:num w:numId="28">
    <w:abstractNumId w:val="17"/>
  </w:num>
  <w:num w:numId="29">
    <w:abstractNumId w:val="15"/>
  </w:num>
  <w:num w:numId="30">
    <w:abstractNumId w:val="31"/>
  </w:num>
  <w:num w:numId="31">
    <w:abstractNumId w:val="26"/>
  </w:num>
  <w:num w:numId="32">
    <w:abstractNumId w:val="21"/>
  </w:num>
  <w:num w:numId="33">
    <w:abstractNumId w:val="10"/>
  </w:num>
  <w:num w:numId="34">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802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3B0"/>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6067"/>
    <w:rsid w:val="00A86844"/>
    <w:rsid w:val="00A86E64"/>
    <w:rsid w:val="00A90316"/>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022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en.ec.europa.e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stillalamancha.es/actualidad/notasdeprensa/el-gobierno-regional-clasifica-429-proyectos-empresariales-dentro-del-plan-%E2%80%9Cclm-avanza%E2%80%9D-por-sus-ej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nuestro-equipo/4-sede-central-albacete/38-asociaciones-y-areas-tecnica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eda.es/servicios/asesoramiento-tecnico/apoyo-a-la-inversion"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79144-64B1-47C1-A12C-58760E205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709</Words>
  <Characters>4289</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4989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2022-03-07T08:50:00Z</dcterms:created>
  <dcterms:modified xsi:type="dcterms:W3CDTF">2022-03-07T08:50:00Z</dcterms:modified>
</cp:coreProperties>
</file>