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564D2C" w:rsidRPr="00B2413A" w:rsidRDefault="00564D2C" w:rsidP="00E63862">
      <w:pPr>
        <w:jc w:val="right"/>
        <w:rPr>
          <w:rFonts w:ascii="Tahoma" w:hAnsi="Tahoma" w:cs="Tahoma"/>
          <w:bCs/>
          <w:szCs w:val="24"/>
        </w:rPr>
      </w:pPr>
    </w:p>
    <w:p w:rsidR="00E63862" w:rsidRDefault="0082053F" w:rsidP="00BE1132">
      <w:pPr>
        <w:jc w:val="right"/>
        <w:rPr>
          <w:rFonts w:ascii="Tahoma" w:hAnsi="Tahoma" w:cs="Tahoma"/>
          <w:bCs/>
          <w:szCs w:val="24"/>
        </w:rPr>
      </w:pPr>
      <w:r w:rsidRPr="00B2413A">
        <w:rPr>
          <w:rFonts w:ascii="Tahoma" w:hAnsi="Tahoma" w:cs="Tahoma"/>
          <w:bCs/>
          <w:szCs w:val="24"/>
        </w:rPr>
        <w:t xml:space="preserve">Albacete, </w:t>
      </w:r>
      <w:r w:rsidR="00EF6A04">
        <w:rPr>
          <w:rFonts w:ascii="Tahoma" w:hAnsi="Tahoma" w:cs="Tahoma"/>
          <w:bCs/>
          <w:szCs w:val="24"/>
        </w:rPr>
        <w:t>20 de</w:t>
      </w:r>
      <w:r w:rsidR="00405CF2" w:rsidRPr="00B2413A">
        <w:rPr>
          <w:rFonts w:ascii="Tahoma" w:hAnsi="Tahoma" w:cs="Tahoma"/>
          <w:bCs/>
          <w:szCs w:val="24"/>
        </w:rPr>
        <w:t xml:space="preserve"> </w:t>
      </w:r>
      <w:r w:rsidR="00303E51">
        <w:rPr>
          <w:rFonts w:ascii="Tahoma" w:hAnsi="Tahoma" w:cs="Tahoma"/>
          <w:bCs/>
          <w:szCs w:val="24"/>
        </w:rPr>
        <w:t>abril</w:t>
      </w:r>
      <w:r w:rsidR="009406A2" w:rsidRPr="00B2413A">
        <w:rPr>
          <w:rFonts w:ascii="Tahoma" w:hAnsi="Tahoma" w:cs="Tahoma"/>
          <w:bCs/>
          <w:szCs w:val="24"/>
        </w:rPr>
        <w:t xml:space="preserve"> de</w:t>
      </w:r>
      <w:r w:rsidRPr="00B2413A">
        <w:rPr>
          <w:rFonts w:ascii="Tahoma" w:hAnsi="Tahoma" w:cs="Tahoma"/>
          <w:bCs/>
          <w:szCs w:val="24"/>
        </w:rPr>
        <w:t xml:space="preserve"> 202</w:t>
      </w:r>
      <w:r w:rsidR="00044A60" w:rsidRPr="00B2413A">
        <w:rPr>
          <w:rFonts w:ascii="Tahoma" w:hAnsi="Tahoma" w:cs="Tahoma"/>
          <w:bCs/>
          <w:szCs w:val="24"/>
        </w:rPr>
        <w:t>2</w:t>
      </w:r>
    </w:p>
    <w:p w:rsidR="00275B73" w:rsidRDefault="00275B73" w:rsidP="00BE1132">
      <w:pPr>
        <w:jc w:val="right"/>
        <w:rPr>
          <w:rFonts w:ascii="Tahoma" w:hAnsi="Tahoma" w:cs="Tahoma"/>
          <w:bCs/>
          <w:szCs w:val="24"/>
        </w:rPr>
      </w:pPr>
    </w:p>
    <w:p w:rsidR="00275B73" w:rsidRDefault="00275B73" w:rsidP="00BE1132">
      <w:pPr>
        <w:jc w:val="right"/>
        <w:rPr>
          <w:rFonts w:ascii="Tahoma" w:hAnsi="Tahoma" w:cs="Tahoma"/>
          <w:bCs/>
          <w:szCs w:val="24"/>
        </w:rPr>
      </w:pPr>
    </w:p>
    <w:p w:rsidR="00275B73" w:rsidRDefault="0084457E" w:rsidP="0084457E">
      <w:pPr>
        <w:jc w:val="center"/>
        <w:rPr>
          <w:rFonts w:ascii="Tahoma" w:hAnsi="Tahoma" w:cs="Tahoma"/>
          <w:b/>
          <w:bCs/>
          <w:sz w:val="32"/>
          <w:szCs w:val="32"/>
        </w:rPr>
      </w:pPr>
      <w:r w:rsidRPr="0084457E">
        <w:rPr>
          <w:rFonts w:ascii="Tahoma" w:hAnsi="Tahoma" w:cs="Tahoma"/>
          <w:b/>
          <w:bCs/>
          <w:sz w:val="32"/>
          <w:szCs w:val="32"/>
        </w:rPr>
        <w:t>Seminario w</w:t>
      </w:r>
      <w:r w:rsidR="00796E79">
        <w:rPr>
          <w:rFonts w:ascii="Tahoma" w:hAnsi="Tahoma" w:cs="Tahoma"/>
          <w:b/>
          <w:bCs/>
          <w:sz w:val="32"/>
          <w:szCs w:val="32"/>
        </w:rPr>
        <w:t>eb en FEDA con Red.es sobre el P</w:t>
      </w:r>
      <w:r w:rsidRPr="0084457E">
        <w:rPr>
          <w:rFonts w:ascii="Tahoma" w:hAnsi="Tahoma" w:cs="Tahoma"/>
          <w:b/>
          <w:bCs/>
          <w:sz w:val="32"/>
          <w:szCs w:val="32"/>
        </w:rPr>
        <w:t>rograma Kit Digital y sus soluciones digitales para pymes y autónomos</w:t>
      </w:r>
    </w:p>
    <w:p w:rsidR="00796E79" w:rsidRDefault="00796E79" w:rsidP="0084457E">
      <w:pPr>
        <w:jc w:val="center"/>
        <w:rPr>
          <w:rFonts w:ascii="Tahoma" w:hAnsi="Tahoma" w:cs="Tahoma"/>
          <w:b/>
          <w:bCs/>
          <w:sz w:val="32"/>
          <w:szCs w:val="32"/>
        </w:rPr>
      </w:pPr>
    </w:p>
    <w:p w:rsidR="00796E79" w:rsidRPr="00796E79" w:rsidRDefault="00796E79" w:rsidP="002F6758">
      <w:pPr>
        <w:pStyle w:val="Prrafodelista"/>
        <w:numPr>
          <w:ilvl w:val="0"/>
          <w:numId w:val="49"/>
        </w:numPr>
        <w:spacing w:line="240" w:lineRule="auto"/>
        <w:ind w:left="284" w:hanging="426"/>
        <w:jc w:val="center"/>
        <w:rPr>
          <w:rFonts w:ascii="Tahoma" w:hAnsi="Tahoma" w:cs="Tahoma"/>
          <w:b/>
          <w:bCs/>
          <w:sz w:val="24"/>
          <w:szCs w:val="24"/>
        </w:rPr>
      </w:pPr>
      <w:r w:rsidRPr="00796E79">
        <w:rPr>
          <w:rFonts w:ascii="Tahoma" w:hAnsi="Tahoma" w:cs="Tahoma"/>
          <w:b/>
          <w:bCs/>
          <w:sz w:val="24"/>
          <w:szCs w:val="24"/>
        </w:rPr>
        <w:t>Se resaltarán las ayudas económicas de este programa y el apoyo de los agentes digitalizadores</w:t>
      </w:r>
      <w:r>
        <w:rPr>
          <w:rFonts w:ascii="Tahoma" w:hAnsi="Tahoma" w:cs="Tahoma"/>
          <w:b/>
          <w:bCs/>
          <w:sz w:val="24"/>
          <w:szCs w:val="24"/>
        </w:rPr>
        <w:t>, tanto en APETI como en la Asociación de Diseñadores de Albacete</w:t>
      </w:r>
    </w:p>
    <w:p w:rsidR="00275B73" w:rsidRDefault="00275B73" w:rsidP="00BE1132">
      <w:pPr>
        <w:jc w:val="right"/>
        <w:rPr>
          <w:rFonts w:ascii="Tahoma" w:hAnsi="Tahoma" w:cs="Tahoma"/>
          <w:bCs/>
          <w:szCs w:val="24"/>
        </w:rPr>
      </w:pPr>
    </w:p>
    <w:p w:rsidR="00810BFB" w:rsidRPr="00275B73" w:rsidRDefault="00EB391A" w:rsidP="00275B73">
      <w:pPr>
        <w:rPr>
          <w:rFonts w:ascii="Tahoma" w:eastAsia="Calibri" w:hAnsi="Tahoma" w:cs="Tahoma"/>
          <w:szCs w:val="24"/>
          <w:lang w:val="es-ES"/>
        </w:rPr>
      </w:pPr>
      <w:hyperlink r:id="rId8" w:history="1">
        <w:r w:rsidR="00810BFB" w:rsidRPr="00275B73">
          <w:rPr>
            <w:rStyle w:val="Hipervnculo"/>
            <w:rFonts w:ascii="Tahoma" w:eastAsia="Calibri" w:hAnsi="Tahoma" w:cs="Tahoma"/>
            <w:szCs w:val="24"/>
            <w:lang w:val="es-ES"/>
          </w:rPr>
          <w:t>FEDA</w:t>
        </w:r>
      </w:hyperlink>
      <w:r w:rsidR="00810BFB" w:rsidRPr="00810BFB">
        <w:rPr>
          <w:rFonts w:ascii="Tahoma" w:eastAsia="Calibri" w:hAnsi="Tahoma" w:cs="Tahoma"/>
          <w:szCs w:val="24"/>
          <w:lang w:val="es-ES"/>
        </w:rPr>
        <w:t>,</w:t>
      </w:r>
      <w:r w:rsidR="00810BFB" w:rsidRPr="00810BFB">
        <w:rPr>
          <w:rFonts w:ascii="Tahoma" w:eastAsia="Calibri" w:hAnsi="Tahoma" w:cs="Tahoma"/>
          <w:b/>
          <w:szCs w:val="24"/>
          <w:lang w:val="es-ES"/>
        </w:rPr>
        <w:t xml:space="preserve"> </w:t>
      </w:r>
      <w:r w:rsidR="00810BFB" w:rsidRPr="00810BFB">
        <w:rPr>
          <w:rFonts w:ascii="Tahoma" w:eastAsia="Calibri" w:hAnsi="Tahoma" w:cs="Tahoma"/>
          <w:szCs w:val="24"/>
          <w:lang w:val="es-ES"/>
        </w:rPr>
        <w:t xml:space="preserve">junto con sus asociaciones integradas, </w:t>
      </w:r>
      <w:hyperlink r:id="rId9" w:history="1">
        <w:r w:rsidR="00810BFB" w:rsidRPr="00810BFB">
          <w:rPr>
            <w:rFonts w:ascii="Tahoma" w:eastAsia="Calibri" w:hAnsi="Tahoma" w:cs="Tahoma"/>
            <w:color w:val="0000FF"/>
            <w:szCs w:val="24"/>
            <w:u w:val="single"/>
            <w:lang w:val="es-ES"/>
          </w:rPr>
          <w:t xml:space="preserve">Asociación de Provincial de Empresas de Tecnología de la Información </w:t>
        </w:r>
      </w:hyperlink>
      <w:r w:rsidR="00810BFB" w:rsidRPr="00810BFB">
        <w:rPr>
          <w:rFonts w:ascii="Tahoma" w:eastAsia="Calibri" w:hAnsi="Tahoma" w:cs="Tahoma"/>
          <w:szCs w:val="24"/>
          <w:lang w:val="es-ES"/>
        </w:rPr>
        <w:t>APETI,</w:t>
      </w:r>
      <w:r w:rsidR="00810BFB" w:rsidRPr="00810BFB">
        <w:rPr>
          <w:rFonts w:ascii="Tahoma" w:eastAsia="Calibri" w:hAnsi="Tahoma" w:cs="Tahoma"/>
          <w:color w:val="002060"/>
          <w:szCs w:val="24"/>
          <w:lang w:val="es-ES"/>
        </w:rPr>
        <w:t xml:space="preserve"> y </w:t>
      </w:r>
      <w:hyperlink r:id="rId10" w:history="1">
        <w:r w:rsidR="00810BFB" w:rsidRPr="00810BFB">
          <w:rPr>
            <w:rFonts w:ascii="Tahoma" w:eastAsia="Calibri" w:hAnsi="Tahoma" w:cs="Tahoma"/>
            <w:color w:val="0000FF"/>
            <w:szCs w:val="24"/>
            <w:u w:val="single"/>
            <w:lang w:val="es-ES"/>
          </w:rPr>
          <w:t>Asociación de Diseñadores de Albacete</w:t>
        </w:r>
      </w:hyperlink>
      <w:r w:rsidR="00810BFB" w:rsidRPr="00810BFB">
        <w:rPr>
          <w:rFonts w:ascii="Tahoma" w:eastAsia="Calibri" w:hAnsi="Tahoma" w:cs="Tahoma"/>
          <w:color w:val="002060"/>
          <w:szCs w:val="24"/>
          <w:lang w:val="es-ES"/>
        </w:rPr>
        <w:t xml:space="preserve"> </w:t>
      </w:r>
      <w:r w:rsidR="00810BFB" w:rsidRPr="00810BFB">
        <w:rPr>
          <w:rFonts w:ascii="Tahoma" w:eastAsia="Calibri" w:hAnsi="Tahoma" w:cs="Tahoma"/>
          <w:szCs w:val="24"/>
          <w:lang w:val="es-ES"/>
        </w:rPr>
        <w:t>DAB,</w:t>
      </w:r>
      <w:r w:rsidR="00810BFB" w:rsidRPr="00810BFB">
        <w:rPr>
          <w:rFonts w:ascii="Tahoma" w:eastAsia="Calibri" w:hAnsi="Tahoma" w:cs="Tahoma"/>
          <w:b/>
          <w:szCs w:val="24"/>
          <w:lang w:val="es-ES"/>
        </w:rPr>
        <w:t xml:space="preserve"> </w:t>
      </w:r>
      <w:r w:rsidR="00810BFB" w:rsidRPr="00810BFB">
        <w:rPr>
          <w:rFonts w:ascii="Tahoma" w:eastAsia="Calibri" w:hAnsi="Tahoma" w:cs="Tahoma"/>
          <w:szCs w:val="24"/>
          <w:lang w:val="es-ES"/>
        </w:rPr>
        <w:t xml:space="preserve">con la colaboración de </w:t>
      </w:r>
      <w:hyperlink r:id="rId11" w:history="1">
        <w:r w:rsidR="00810BFB" w:rsidRPr="00275B73">
          <w:rPr>
            <w:rStyle w:val="Hipervnculo"/>
            <w:rFonts w:ascii="Tahoma" w:eastAsia="Calibri" w:hAnsi="Tahoma" w:cs="Tahoma"/>
            <w:szCs w:val="24"/>
            <w:lang w:val="es-ES"/>
          </w:rPr>
          <w:t>Red.es</w:t>
        </w:r>
      </w:hyperlink>
      <w:r w:rsidR="00810BFB" w:rsidRPr="00810BFB">
        <w:rPr>
          <w:rFonts w:ascii="Tahoma" w:eastAsia="Calibri" w:hAnsi="Tahoma" w:cs="Tahoma"/>
          <w:szCs w:val="24"/>
          <w:lang w:val="es-ES"/>
        </w:rPr>
        <w:t xml:space="preserve"> entidad adscrita al Ministerio de Asuntos Económicos y Transformación Digital a través de la Secretaría de Estado de Digitalización e Inteligencia Artificial, </w:t>
      </w:r>
      <w:r w:rsidR="00275B73" w:rsidRPr="00275B73">
        <w:rPr>
          <w:rFonts w:ascii="Tahoma" w:eastAsia="Calibri" w:hAnsi="Tahoma" w:cs="Tahoma"/>
          <w:szCs w:val="24"/>
          <w:lang w:val="es-ES"/>
        </w:rPr>
        <w:t xml:space="preserve">ha organizado para este viernes, día 22 de abril, a las 11,00 horas, un seminario web </w:t>
      </w:r>
      <w:r w:rsidR="00810BFB" w:rsidRPr="00810BFB">
        <w:rPr>
          <w:rFonts w:ascii="Tahoma" w:eastAsia="Calibri" w:hAnsi="Tahoma" w:cs="Tahoma"/>
          <w:szCs w:val="24"/>
          <w:lang w:val="es-ES"/>
        </w:rPr>
        <w:t xml:space="preserve">sobre el programa </w:t>
      </w:r>
      <w:hyperlink r:id="rId12" w:history="1">
        <w:r w:rsidR="00275B73" w:rsidRPr="00275B73">
          <w:rPr>
            <w:rStyle w:val="Hipervnculo"/>
            <w:rFonts w:ascii="Tahoma" w:eastAsia="Calibri" w:hAnsi="Tahoma" w:cs="Tahoma"/>
            <w:szCs w:val="24"/>
            <w:lang w:val="es-ES"/>
          </w:rPr>
          <w:t xml:space="preserve">Kit Digital </w:t>
        </w:r>
        <w:r w:rsidR="00810BFB" w:rsidRPr="00275B73">
          <w:rPr>
            <w:rStyle w:val="Hipervnculo"/>
            <w:rFonts w:ascii="Tahoma" w:eastAsia="Calibri" w:hAnsi="Tahoma" w:cs="Tahoma"/>
            <w:szCs w:val="24"/>
            <w:lang w:val="es-ES"/>
          </w:rPr>
          <w:t>“Kit Digital: Soluciones digitales para pymes y autónomos. Agentes digitalizadores</w:t>
        </w:r>
        <w:r w:rsidR="00275B73" w:rsidRPr="00275B73">
          <w:rPr>
            <w:rStyle w:val="Hipervnculo"/>
            <w:rFonts w:ascii="Tahoma" w:eastAsia="Calibri" w:hAnsi="Tahoma" w:cs="Tahoma"/>
            <w:szCs w:val="24"/>
            <w:lang w:val="es-ES"/>
          </w:rPr>
          <w:t>”.</w:t>
        </w:r>
      </w:hyperlink>
    </w:p>
    <w:p w:rsidR="00275B73" w:rsidRPr="00810BFB" w:rsidRDefault="00275B73" w:rsidP="00810BFB">
      <w:pPr>
        <w:spacing w:line="276" w:lineRule="auto"/>
        <w:rPr>
          <w:rFonts w:ascii="Tahoma" w:eastAsia="Calibri" w:hAnsi="Tahoma" w:cs="Tahoma"/>
          <w:color w:val="002060"/>
          <w:szCs w:val="24"/>
          <w:lang w:val="es-ES"/>
        </w:rPr>
      </w:pPr>
    </w:p>
    <w:p w:rsidR="00810BFB" w:rsidRDefault="00810BFB" w:rsidP="00275B73">
      <w:pPr>
        <w:rPr>
          <w:rFonts w:ascii="Tahoma" w:eastAsia="Calibri" w:hAnsi="Tahoma" w:cs="Tahoma"/>
          <w:szCs w:val="24"/>
          <w:lang w:val="es-ES"/>
        </w:rPr>
      </w:pPr>
      <w:r w:rsidRPr="00810BFB">
        <w:rPr>
          <w:rFonts w:ascii="Tahoma" w:eastAsia="Calibri" w:hAnsi="Tahoma" w:cs="Tahoma"/>
          <w:szCs w:val="24"/>
          <w:lang w:val="es-ES"/>
        </w:rPr>
        <w:t xml:space="preserve">El Gobierno de España ha puesto en marcha la ayuda del Programa Kit Digital dotado </w:t>
      </w:r>
      <w:r w:rsidR="00275B73">
        <w:rPr>
          <w:rFonts w:ascii="Tahoma" w:eastAsia="Calibri" w:hAnsi="Tahoma" w:cs="Tahoma"/>
          <w:szCs w:val="24"/>
          <w:lang w:val="es-ES"/>
        </w:rPr>
        <w:t>de 3.067 millones de euros. El p</w:t>
      </w:r>
      <w:r w:rsidRPr="00810BFB">
        <w:rPr>
          <w:rFonts w:ascii="Tahoma" w:eastAsia="Calibri" w:hAnsi="Tahoma" w:cs="Tahoma"/>
          <w:szCs w:val="24"/>
          <w:lang w:val="es-ES"/>
        </w:rPr>
        <w:t xml:space="preserve">rograma está financiado por el </w:t>
      </w:r>
      <w:hyperlink r:id="rId13" w:history="1">
        <w:r w:rsidRPr="00275B73">
          <w:rPr>
            <w:rStyle w:val="Hipervnculo"/>
            <w:rFonts w:ascii="Tahoma" w:eastAsia="Calibri" w:hAnsi="Tahoma" w:cs="Tahoma"/>
            <w:szCs w:val="24"/>
            <w:lang w:val="es-ES"/>
          </w:rPr>
          <w:t>Plan de Recuperación, Transformación y Resiliencia de España Next</w:t>
        </w:r>
        <w:bookmarkStart w:id="0" w:name="_GoBack"/>
        <w:bookmarkEnd w:id="0"/>
        <w:r w:rsidRPr="00275B73">
          <w:rPr>
            <w:rStyle w:val="Hipervnculo"/>
            <w:rFonts w:ascii="Tahoma" w:eastAsia="Calibri" w:hAnsi="Tahoma" w:cs="Tahoma"/>
            <w:szCs w:val="24"/>
            <w:lang w:val="es-ES"/>
          </w:rPr>
          <w:t xml:space="preserve"> Generation EU</w:t>
        </w:r>
      </w:hyperlink>
      <w:r w:rsidR="00275B73">
        <w:rPr>
          <w:rFonts w:ascii="Tahoma" w:eastAsia="Calibri" w:hAnsi="Tahoma" w:cs="Tahoma"/>
          <w:szCs w:val="24"/>
          <w:lang w:val="es-ES"/>
        </w:rPr>
        <w:t>,</w:t>
      </w:r>
      <w:r w:rsidRPr="00810BFB">
        <w:rPr>
          <w:rFonts w:ascii="Tahoma" w:eastAsia="Calibri" w:hAnsi="Tahoma" w:cs="Tahoma"/>
          <w:szCs w:val="24"/>
          <w:lang w:val="es-ES"/>
        </w:rPr>
        <w:t xml:space="preserve"> en el marco de la agenda España Digital 2025 y el Plan de Digitalización de Pymes 2021-2025, para facilitar el acceso del tejido empresarial a soluciones digitales, no solo a través de ayudas económicas, sino con el apoyo de agentes digitalizadores homologados</w:t>
      </w:r>
      <w:r w:rsidR="00275B73">
        <w:rPr>
          <w:rFonts w:ascii="Tahoma" w:eastAsia="Calibri" w:hAnsi="Tahoma" w:cs="Tahoma"/>
          <w:szCs w:val="24"/>
          <w:lang w:val="es-ES"/>
        </w:rPr>
        <w:t xml:space="preserve">, que en el caso de las asociaciones de FEDA, como </w:t>
      </w:r>
      <w:hyperlink r:id="rId14" w:history="1">
        <w:r w:rsidR="00275B73" w:rsidRPr="00275B73">
          <w:rPr>
            <w:rStyle w:val="Hipervnculo"/>
            <w:rFonts w:ascii="Tahoma" w:eastAsia="Calibri" w:hAnsi="Tahoma" w:cs="Tahoma"/>
            <w:szCs w:val="24"/>
            <w:lang w:val="es-ES"/>
          </w:rPr>
          <w:t>APETI, tienen agentes digitalizadores</w:t>
        </w:r>
      </w:hyperlink>
      <w:r w:rsidR="00275B73">
        <w:rPr>
          <w:rFonts w:ascii="Tahoma" w:eastAsia="Calibri" w:hAnsi="Tahoma" w:cs="Tahoma"/>
          <w:szCs w:val="24"/>
          <w:lang w:val="es-ES"/>
        </w:rPr>
        <w:t>.</w:t>
      </w:r>
    </w:p>
    <w:p w:rsidR="00275B73" w:rsidRPr="00810BFB" w:rsidRDefault="00275B73" w:rsidP="00275B73">
      <w:pPr>
        <w:rPr>
          <w:rFonts w:ascii="Tahoma" w:eastAsia="Calibri" w:hAnsi="Tahoma" w:cs="Tahoma"/>
          <w:szCs w:val="24"/>
          <w:lang w:val="es-ES"/>
        </w:rPr>
      </w:pPr>
    </w:p>
    <w:p w:rsidR="0084457E" w:rsidRPr="00810BFB" w:rsidRDefault="00810BFB" w:rsidP="0084457E">
      <w:pPr>
        <w:rPr>
          <w:rFonts w:ascii="Tahoma" w:hAnsi="Tahoma" w:cs="Tahoma"/>
          <w:szCs w:val="24"/>
          <w:lang w:val="es-ES"/>
        </w:rPr>
      </w:pPr>
      <w:r w:rsidRPr="00810BFB">
        <w:rPr>
          <w:rFonts w:ascii="Tahoma" w:eastAsia="Calibri" w:hAnsi="Tahoma" w:cs="Tahoma"/>
          <w:szCs w:val="24"/>
          <w:lang w:val="es-ES"/>
        </w:rPr>
        <w:t>El seminario será im</w:t>
      </w:r>
      <w:r w:rsidR="0084457E">
        <w:rPr>
          <w:rFonts w:ascii="Tahoma" w:eastAsia="Calibri" w:hAnsi="Tahoma" w:cs="Tahoma"/>
          <w:szCs w:val="24"/>
          <w:lang w:val="es-ES"/>
        </w:rPr>
        <w:t>partido por Antonio Saravia, di</w:t>
      </w:r>
      <w:r w:rsidRPr="00810BFB">
        <w:rPr>
          <w:rFonts w:ascii="Tahoma" w:eastAsia="Calibri" w:hAnsi="Tahoma" w:cs="Tahoma"/>
          <w:szCs w:val="24"/>
          <w:lang w:val="es-ES"/>
        </w:rPr>
        <w:t>re</w:t>
      </w:r>
      <w:r w:rsidR="0084457E">
        <w:rPr>
          <w:rFonts w:ascii="Tahoma" w:eastAsia="Calibri" w:hAnsi="Tahoma" w:cs="Tahoma"/>
          <w:szCs w:val="24"/>
          <w:lang w:val="es-ES"/>
        </w:rPr>
        <w:t>ctor adjunto c</w:t>
      </w:r>
      <w:r w:rsidR="0084457E" w:rsidRPr="0084457E">
        <w:rPr>
          <w:rFonts w:ascii="Tahoma" w:eastAsia="Calibri" w:hAnsi="Tahoma" w:cs="Tahoma"/>
          <w:szCs w:val="24"/>
          <w:lang w:val="es-ES"/>
        </w:rPr>
        <w:t>orporativo Red.es, p</w:t>
      </w:r>
      <w:r w:rsidR="0084457E" w:rsidRPr="00810BFB">
        <w:rPr>
          <w:rFonts w:ascii="Tahoma" w:hAnsi="Tahoma" w:cs="Tahoma"/>
          <w:szCs w:val="24"/>
          <w:lang w:val="es-ES"/>
        </w:rPr>
        <w:t>rofesor de Economía Digital en la UAH.</w:t>
      </w:r>
      <w:r w:rsidR="0084457E" w:rsidRPr="0084457E">
        <w:rPr>
          <w:rFonts w:ascii="Tahoma" w:hAnsi="Tahoma" w:cs="Tahoma"/>
          <w:szCs w:val="24"/>
          <w:lang w:val="es-ES"/>
        </w:rPr>
        <w:t xml:space="preserve"> </w:t>
      </w:r>
      <w:r w:rsidR="0084457E" w:rsidRPr="00810BFB">
        <w:rPr>
          <w:rFonts w:ascii="Tahoma" w:hAnsi="Tahoma" w:cs="Tahoma"/>
          <w:szCs w:val="24"/>
          <w:lang w:val="es-ES"/>
        </w:rPr>
        <w:t>Directivo con amplia experiencia en la definición e implementación de grandes iniciativas y proyectos de transformación digital en el sector público y privado (Red.es, MCI, Telefónica, CERN).</w:t>
      </w:r>
    </w:p>
    <w:p w:rsidR="00810BFB" w:rsidRDefault="00810BFB" w:rsidP="00810BFB">
      <w:pPr>
        <w:shd w:val="clear" w:color="auto" w:fill="FFFFFF"/>
        <w:spacing w:before="150" w:after="150"/>
        <w:jc w:val="left"/>
        <w:outlineLvl w:val="3"/>
        <w:rPr>
          <w:rFonts w:ascii="Tahoma" w:hAnsi="Tahoma" w:cs="Tahoma"/>
          <w:b/>
          <w:bCs/>
          <w:szCs w:val="24"/>
          <w:lang w:val="es-ES"/>
        </w:rPr>
      </w:pPr>
      <w:r w:rsidRPr="00810BFB">
        <w:rPr>
          <w:rFonts w:ascii="Tahoma" w:hAnsi="Tahoma" w:cs="Tahoma"/>
          <w:b/>
          <w:bCs/>
          <w:szCs w:val="24"/>
          <w:lang w:val="es-ES"/>
        </w:rPr>
        <w:t>Objetivo</w:t>
      </w:r>
    </w:p>
    <w:p w:rsidR="0084457E" w:rsidRPr="00810BFB" w:rsidRDefault="0084457E" w:rsidP="0084457E">
      <w:pPr>
        <w:shd w:val="clear" w:color="auto" w:fill="FFFFFF"/>
        <w:spacing w:before="150" w:after="150"/>
        <w:outlineLvl w:val="3"/>
        <w:rPr>
          <w:rFonts w:ascii="Tahoma" w:hAnsi="Tahoma" w:cs="Tahoma"/>
          <w:szCs w:val="24"/>
          <w:lang w:val="es-ES"/>
        </w:rPr>
      </w:pPr>
      <w:r>
        <w:rPr>
          <w:rFonts w:ascii="Tahoma" w:hAnsi="Tahoma" w:cs="Tahoma"/>
          <w:szCs w:val="24"/>
          <w:shd w:val="clear" w:color="auto" w:fill="FFFFFF"/>
          <w:lang w:val="es-ES"/>
        </w:rPr>
        <w:t>El objetivo de este seminario w</w:t>
      </w:r>
      <w:r w:rsidRPr="00810BFB">
        <w:rPr>
          <w:rFonts w:ascii="Tahoma" w:hAnsi="Tahoma" w:cs="Tahoma"/>
          <w:szCs w:val="24"/>
          <w:shd w:val="clear" w:color="auto" w:fill="FFFFFF"/>
          <w:lang w:val="es-ES"/>
        </w:rPr>
        <w:t xml:space="preserve">eb </w:t>
      </w:r>
      <w:r>
        <w:rPr>
          <w:rFonts w:ascii="Tahoma" w:hAnsi="Tahoma" w:cs="Tahoma"/>
          <w:szCs w:val="24"/>
          <w:shd w:val="clear" w:color="auto" w:fill="FFFFFF"/>
          <w:lang w:val="es-ES"/>
        </w:rPr>
        <w:t xml:space="preserve">es </w:t>
      </w:r>
      <w:r w:rsidRPr="00810BFB">
        <w:rPr>
          <w:rFonts w:ascii="Tahoma" w:hAnsi="Tahoma" w:cs="Tahoma"/>
          <w:szCs w:val="24"/>
          <w:shd w:val="clear" w:color="auto" w:fill="FFFFFF"/>
          <w:lang w:val="es-ES"/>
        </w:rPr>
        <w:t xml:space="preserve">explicar y aclarar tanto a empresas </w:t>
      </w:r>
      <w:r w:rsidR="00796E79">
        <w:rPr>
          <w:rFonts w:ascii="Tahoma" w:hAnsi="Tahoma" w:cs="Tahoma"/>
          <w:szCs w:val="24"/>
          <w:shd w:val="clear" w:color="auto" w:fill="FFFFFF"/>
          <w:lang w:val="es-ES"/>
        </w:rPr>
        <w:t xml:space="preserve">como a agentes digitalizadores </w:t>
      </w:r>
      <w:r w:rsidRPr="00810BFB">
        <w:rPr>
          <w:rFonts w:ascii="Tahoma" w:hAnsi="Tahoma" w:cs="Tahoma"/>
          <w:szCs w:val="24"/>
          <w:shd w:val="clear" w:color="auto" w:fill="FFFFFF"/>
          <w:lang w:val="es-ES"/>
        </w:rPr>
        <w:t>todas las consultas y dudas que surgen sobre el Kit Digital.</w:t>
      </w:r>
    </w:p>
    <w:p w:rsidR="0084457E" w:rsidRDefault="00810BFB" w:rsidP="0084457E">
      <w:pPr>
        <w:rPr>
          <w:rFonts w:ascii="Tahoma" w:hAnsi="Tahoma" w:cs="Tahoma"/>
          <w:szCs w:val="24"/>
          <w:shd w:val="clear" w:color="auto" w:fill="FFFFFF"/>
          <w:lang w:val="es-ES"/>
        </w:rPr>
      </w:pPr>
      <w:r w:rsidRPr="00810BFB">
        <w:rPr>
          <w:rFonts w:ascii="Tahoma" w:hAnsi="Tahoma" w:cs="Tahoma"/>
          <w:szCs w:val="24"/>
          <w:shd w:val="clear" w:color="auto" w:fill="FFFFFF"/>
          <w:lang w:val="es-ES"/>
        </w:rPr>
        <w:t>El Kit Digital es una iniciativa del Gobierno de España, que tiene como objetivo subvencionar la implantación de soluciones digitales disponibles en el mercado para conseguir un avance significativo en el nivel de madurez digital.</w:t>
      </w:r>
    </w:p>
    <w:p w:rsidR="00810BFB" w:rsidRDefault="00810BFB" w:rsidP="0096122D">
      <w:pPr>
        <w:rPr>
          <w:rFonts w:ascii="Tahoma" w:hAnsi="Tahoma" w:cs="Tahoma"/>
          <w:bCs/>
          <w:szCs w:val="24"/>
        </w:rPr>
      </w:pPr>
      <w:r w:rsidRPr="00810BFB">
        <w:rPr>
          <w:rFonts w:ascii="Tahoma" w:hAnsi="Tahoma" w:cs="Tahoma"/>
          <w:szCs w:val="24"/>
          <w:lang w:val="es-ES"/>
        </w:rPr>
        <w:br/>
      </w:r>
      <w:r w:rsidRPr="00810BFB">
        <w:rPr>
          <w:rFonts w:ascii="Tahoma" w:hAnsi="Tahoma" w:cs="Tahoma"/>
          <w:szCs w:val="24"/>
          <w:shd w:val="clear" w:color="auto" w:fill="FFFFFF"/>
          <w:lang w:val="es-ES"/>
        </w:rPr>
        <w:t xml:space="preserve">Las soluciones digitales que proporciona el Kit Digital están orientadas a las necesidades </w:t>
      </w:r>
      <w:r w:rsidRPr="00810BFB">
        <w:rPr>
          <w:rFonts w:ascii="Tahoma" w:hAnsi="Tahoma" w:cs="Tahoma"/>
          <w:szCs w:val="24"/>
          <w:shd w:val="clear" w:color="auto" w:fill="FFFFFF"/>
          <w:lang w:val="es-ES"/>
        </w:rPr>
        <w:lastRenderedPageBreak/>
        <w:t>de las pequeñas empresas, microempresas y trabajadores autónomos, que pertenezcan a cualquier sector o tipología de negocio.</w:t>
      </w:r>
    </w:p>
    <w:sectPr w:rsidR="00810BFB" w:rsidSect="00237893">
      <w:headerReference w:type="default" r:id="rId15"/>
      <w:footerReference w:type="even" r:id="rId16"/>
      <w:footerReference w:type="default" r:id="rId17"/>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96122D">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EB391A"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97AC9"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EB391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97AC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EB391A"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97AC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1.25pt;height:205.5pt" o:bullet="t">
        <v:imagedata r:id="rId1" o:title="feda_logo_con_malla_201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C4E3443"/>
    <w:multiLevelType w:val="hybridMultilevel"/>
    <w:tmpl w:val="40E05996"/>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start w:val="1"/>
      <w:numFmt w:val="bullet"/>
      <w:lvlText w:val=""/>
      <w:lvlJc w:val="left"/>
      <w:pPr>
        <w:ind w:left="2224" w:hanging="360"/>
      </w:pPr>
      <w:rPr>
        <w:rFonts w:ascii="Wingdings" w:hAnsi="Wingdings" w:hint="default"/>
      </w:rPr>
    </w:lvl>
    <w:lvl w:ilvl="3" w:tplc="0C0A0001">
      <w:start w:val="1"/>
      <w:numFmt w:val="bullet"/>
      <w:lvlText w:val=""/>
      <w:lvlJc w:val="left"/>
      <w:pPr>
        <w:ind w:left="2944" w:hanging="360"/>
      </w:pPr>
      <w:rPr>
        <w:rFonts w:ascii="Symbol" w:hAnsi="Symbol" w:hint="default"/>
      </w:rPr>
    </w:lvl>
    <w:lvl w:ilvl="4" w:tplc="0C0A0003">
      <w:start w:val="1"/>
      <w:numFmt w:val="bullet"/>
      <w:lvlText w:val="o"/>
      <w:lvlJc w:val="left"/>
      <w:pPr>
        <w:ind w:left="3664" w:hanging="360"/>
      </w:pPr>
      <w:rPr>
        <w:rFonts w:ascii="Courier New" w:hAnsi="Courier New" w:cs="Courier New" w:hint="default"/>
      </w:rPr>
    </w:lvl>
    <w:lvl w:ilvl="5" w:tplc="0C0A0005">
      <w:start w:val="1"/>
      <w:numFmt w:val="bullet"/>
      <w:lvlText w:val=""/>
      <w:lvlJc w:val="left"/>
      <w:pPr>
        <w:ind w:left="4384" w:hanging="360"/>
      </w:pPr>
      <w:rPr>
        <w:rFonts w:ascii="Wingdings" w:hAnsi="Wingdings" w:hint="default"/>
      </w:rPr>
    </w:lvl>
    <w:lvl w:ilvl="6" w:tplc="0C0A0001">
      <w:start w:val="1"/>
      <w:numFmt w:val="bullet"/>
      <w:lvlText w:val=""/>
      <w:lvlJc w:val="left"/>
      <w:pPr>
        <w:ind w:left="5104" w:hanging="360"/>
      </w:pPr>
      <w:rPr>
        <w:rFonts w:ascii="Symbol" w:hAnsi="Symbol" w:hint="default"/>
      </w:rPr>
    </w:lvl>
    <w:lvl w:ilvl="7" w:tplc="0C0A0003">
      <w:start w:val="1"/>
      <w:numFmt w:val="bullet"/>
      <w:lvlText w:val="o"/>
      <w:lvlJc w:val="left"/>
      <w:pPr>
        <w:ind w:left="5824" w:hanging="360"/>
      </w:pPr>
      <w:rPr>
        <w:rFonts w:ascii="Courier New" w:hAnsi="Courier New" w:cs="Courier New" w:hint="default"/>
      </w:rPr>
    </w:lvl>
    <w:lvl w:ilvl="8" w:tplc="0C0A0005">
      <w:start w:val="1"/>
      <w:numFmt w:val="bullet"/>
      <w:lvlText w:val=""/>
      <w:lvlJc w:val="left"/>
      <w:pPr>
        <w:ind w:left="6544" w:hanging="360"/>
      </w:pPr>
      <w:rPr>
        <w:rFonts w:ascii="Wingdings" w:hAnsi="Wingdings" w:hint="default"/>
      </w:rPr>
    </w:lvl>
  </w:abstractNum>
  <w:abstractNum w:abstractNumId="11"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EA626CB"/>
    <w:multiLevelType w:val="hybridMultilevel"/>
    <w:tmpl w:val="F4527D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1DE1C8E"/>
    <w:multiLevelType w:val="hybridMultilevel"/>
    <w:tmpl w:val="1F2C33EA"/>
    <w:lvl w:ilvl="0" w:tplc="FED28208">
      <w:start w:val="1"/>
      <w:numFmt w:val="bullet"/>
      <w:lvlText w:val=""/>
      <w:lvlPicBulletId w:val="0"/>
      <w:lvlJc w:val="righ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2886A44"/>
    <w:multiLevelType w:val="hybridMultilevel"/>
    <w:tmpl w:val="267A5CD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3"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3BD938F5"/>
    <w:multiLevelType w:val="hybridMultilevel"/>
    <w:tmpl w:val="4C1A05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E935001"/>
    <w:multiLevelType w:val="hybridMultilevel"/>
    <w:tmpl w:val="DDFE1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0525026"/>
    <w:multiLevelType w:val="hybridMultilevel"/>
    <w:tmpl w:val="FC0E28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E496DD0"/>
    <w:multiLevelType w:val="hybridMultilevel"/>
    <w:tmpl w:val="166CAE4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7"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1CF1CC6"/>
    <w:multiLevelType w:val="multilevel"/>
    <w:tmpl w:val="FA12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3156E9B"/>
    <w:multiLevelType w:val="hybridMultilevel"/>
    <w:tmpl w:val="FEE40A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41"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4"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62127FF"/>
    <w:multiLevelType w:val="hybridMultilevel"/>
    <w:tmpl w:val="C74E9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50"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F5B075A"/>
    <w:multiLevelType w:val="hybridMultilevel"/>
    <w:tmpl w:val="8DFC6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3"/>
  </w:num>
  <w:num w:numId="2">
    <w:abstractNumId w:val="6"/>
  </w:num>
  <w:num w:numId="3">
    <w:abstractNumId w:val="2"/>
  </w:num>
  <w:num w:numId="4">
    <w:abstractNumId w:val="1"/>
  </w:num>
  <w:num w:numId="5">
    <w:abstractNumId w:val="0"/>
  </w:num>
  <w:num w:numId="6">
    <w:abstractNumId w:val="50"/>
  </w:num>
  <w:num w:numId="7">
    <w:abstractNumId w:val="25"/>
  </w:num>
  <w:num w:numId="8">
    <w:abstractNumId w:val="45"/>
  </w:num>
  <w:num w:numId="9">
    <w:abstractNumId w:val="18"/>
  </w:num>
  <w:num w:numId="10">
    <w:abstractNumId w:val="41"/>
  </w:num>
  <w:num w:numId="11">
    <w:abstractNumId w:val="40"/>
  </w:num>
  <w:num w:numId="12">
    <w:abstractNumId w:val="49"/>
  </w:num>
  <w:num w:numId="13">
    <w:abstractNumId w:val="33"/>
  </w:num>
  <w:num w:numId="14">
    <w:abstractNumId w:val="19"/>
  </w:num>
  <w:num w:numId="15">
    <w:abstractNumId w:val="34"/>
  </w:num>
  <w:num w:numId="16">
    <w:abstractNumId w:val="17"/>
  </w:num>
  <w:num w:numId="17">
    <w:abstractNumId w:val="47"/>
  </w:num>
  <w:num w:numId="18">
    <w:abstractNumId w:val="13"/>
  </w:num>
  <w:num w:numId="19">
    <w:abstractNumId w:val="26"/>
  </w:num>
  <w:num w:numId="20">
    <w:abstractNumId w:val="46"/>
  </w:num>
  <w:num w:numId="21">
    <w:abstractNumId w:val="23"/>
  </w:num>
  <w:num w:numId="22">
    <w:abstractNumId w:val="30"/>
  </w:num>
  <w:num w:numId="23">
    <w:abstractNumId w:val="16"/>
  </w:num>
  <w:num w:numId="24">
    <w:abstractNumId w:val="35"/>
  </w:num>
  <w:num w:numId="25">
    <w:abstractNumId w:val="32"/>
  </w:num>
  <w:num w:numId="26">
    <w:abstractNumId w:val="7"/>
  </w:num>
  <w:num w:numId="27">
    <w:abstractNumId w:val="8"/>
  </w:num>
  <w:num w:numId="28">
    <w:abstractNumId w:val="24"/>
  </w:num>
  <w:num w:numId="29">
    <w:abstractNumId w:val="21"/>
  </w:num>
  <w:num w:numId="30">
    <w:abstractNumId w:val="44"/>
  </w:num>
  <w:num w:numId="31">
    <w:abstractNumId w:val="37"/>
  </w:num>
  <w:num w:numId="32">
    <w:abstractNumId w:val="31"/>
  </w:num>
  <w:num w:numId="33">
    <w:abstractNumId w:val="15"/>
  </w:num>
  <w:num w:numId="34">
    <w:abstractNumId w:val="42"/>
  </w:num>
  <w:num w:numId="35">
    <w:abstractNumId w:val="10"/>
  </w:num>
  <w:num w:numId="36">
    <w:abstractNumId w:val="9"/>
  </w:num>
  <w:num w:numId="37">
    <w:abstractNumId w:val="11"/>
  </w:num>
  <w:num w:numId="38">
    <w:abstractNumId w:val="20"/>
  </w:num>
  <w:num w:numId="39">
    <w:abstractNumId w:val="14"/>
  </w:num>
  <w:num w:numId="40">
    <w:abstractNumId w:val="36"/>
  </w:num>
  <w:num w:numId="41">
    <w:abstractNumId w:val="48"/>
  </w:num>
  <w:num w:numId="42">
    <w:abstractNumId w:val="22"/>
  </w:num>
  <w:num w:numId="43">
    <w:abstractNumId w:val="28"/>
  </w:num>
  <w:num w:numId="44">
    <w:abstractNumId w:val="38"/>
  </w:num>
  <w:num w:numId="45">
    <w:abstractNumId w:val="51"/>
  </w:num>
  <w:num w:numId="46">
    <w:abstractNumId w:val="12"/>
  </w:num>
  <w:num w:numId="47">
    <w:abstractNumId w:val="27"/>
  </w:num>
  <w:num w:numId="48">
    <w:abstractNumId w:val="39"/>
  </w:num>
  <w:num w:numId="49">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75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E79"/>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22D"/>
    <w:rsid w:val="00961E3C"/>
    <w:rsid w:val="00962224"/>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97AC9"/>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391A"/>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planderecuperacion.gob.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index.php?option=com_chronoforms5&amp;chronoform=fb-377-seminario-web-kit-d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d.es/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eda.es/feda/asociaciones-junta-directiva/item/6850-asociacion-de-disenadores-profesionales-de-albacet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peti.org/" TargetMode="External"/><Relationship Id="rId14" Type="http://schemas.openxmlformats.org/officeDocument/2006/relationships/hyperlink" Target="https://www.apeti.org/noticias/item/305-agentes-digitalizadores"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10F93-105A-44E3-A1A0-43CDF16D4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440</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2861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5</cp:revision>
  <cp:lastPrinted>2021-03-16T11:17:00Z</cp:lastPrinted>
  <dcterms:created xsi:type="dcterms:W3CDTF">2022-04-19T15:41:00Z</dcterms:created>
  <dcterms:modified xsi:type="dcterms:W3CDTF">2022-04-20T08:11:00Z</dcterms:modified>
</cp:coreProperties>
</file>