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BE1132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005C14">
        <w:rPr>
          <w:rFonts w:ascii="Tahoma" w:hAnsi="Tahoma" w:cs="Tahoma"/>
          <w:bCs/>
          <w:szCs w:val="24"/>
        </w:rPr>
        <w:t>2</w:t>
      </w:r>
      <w:r w:rsidR="00745A50">
        <w:rPr>
          <w:rFonts w:ascii="Tahoma" w:hAnsi="Tahoma" w:cs="Tahoma"/>
          <w:bCs/>
          <w:szCs w:val="24"/>
        </w:rPr>
        <w:t>7</w:t>
      </w:r>
      <w:r w:rsidR="00EF6A04">
        <w:rPr>
          <w:rFonts w:ascii="Tahoma" w:hAnsi="Tahoma" w:cs="Tahoma"/>
          <w:bCs/>
          <w:szCs w:val="24"/>
        </w:rPr>
        <w:t xml:space="preserve"> de</w:t>
      </w:r>
      <w:r w:rsidR="00405CF2" w:rsidRPr="00B2413A">
        <w:rPr>
          <w:rFonts w:ascii="Tahoma" w:hAnsi="Tahoma" w:cs="Tahoma"/>
          <w:bCs/>
          <w:szCs w:val="24"/>
        </w:rPr>
        <w:t xml:space="preserve"> </w:t>
      </w:r>
      <w:r w:rsidR="00303E51">
        <w:rPr>
          <w:rFonts w:ascii="Tahoma" w:hAnsi="Tahoma" w:cs="Tahoma"/>
          <w:bCs/>
          <w:szCs w:val="24"/>
        </w:rPr>
        <w:t>abril</w:t>
      </w:r>
      <w:r w:rsidR="009406A2" w:rsidRPr="00B2413A">
        <w:rPr>
          <w:rFonts w:ascii="Tahoma" w:hAnsi="Tahoma" w:cs="Tahoma"/>
          <w:bCs/>
          <w:szCs w:val="24"/>
        </w:rPr>
        <w:t xml:space="preserve"> de</w:t>
      </w:r>
      <w:r w:rsidRPr="00B2413A">
        <w:rPr>
          <w:rFonts w:ascii="Tahoma" w:hAnsi="Tahoma" w:cs="Tahoma"/>
          <w:bCs/>
          <w:szCs w:val="24"/>
        </w:rPr>
        <w:t xml:space="preserve"> 202</w:t>
      </w:r>
      <w:r w:rsidR="00044A60" w:rsidRPr="00B2413A">
        <w:rPr>
          <w:rFonts w:ascii="Tahoma" w:hAnsi="Tahoma" w:cs="Tahoma"/>
          <w:bCs/>
          <w:szCs w:val="24"/>
        </w:rPr>
        <w:t>2</w:t>
      </w:r>
    </w:p>
    <w:p w:rsidR="00745A50" w:rsidRDefault="00745A50" w:rsidP="00BE1132">
      <w:pPr>
        <w:jc w:val="right"/>
        <w:rPr>
          <w:rFonts w:ascii="Tahoma" w:hAnsi="Tahoma" w:cs="Tahoma"/>
          <w:bCs/>
          <w:szCs w:val="24"/>
        </w:rPr>
      </w:pPr>
    </w:p>
    <w:p w:rsidR="009720E6" w:rsidRDefault="009720E6" w:rsidP="009720E6">
      <w:pPr>
        <w:pStyle w:val="default0"/>
        <w:spacing w:before="0" w:after="0"/>
        <w:jc w:val="center"/>
        <w:rPr>
          <w:rFonts w:ascii="Tahoma" w:hAnsi="Tahoma" w:cs="Tahoma"/>
          <w:b/>
          <w:sz w:val="32"/>
          <w:szCs w:val="32"/>
        </w:rPr>
      </w:pPr>
      <w:r w:rsidRPr="009720E6">
        <w:rPr>
          <w:rFonts w:ascii="Tahoma" w:hAnsi="Tahoma" w:cs="Tahoma"/>
          <w:b/>
          <w:sz w:val="32"/>
          <w:szCs w:val="32"/>
        </w:rPr>
        <w:t xml:space="preserve">FEDA se suma a la convocatoria de la Organización Mundial del Trabajo (OIT) para conmemorar el Día Mundial de la Seguridad y Salud en el Trabajo </w:t>
      </w:r>
    </w:p>
    <w:p w:rsidR="00745A50" w:rsidRDefault="00745A50" w:rsidP="009720E6">
      <w:pPr>
        <w:pStyle w:val="default0"/>
        <w:spacing w:before="0" w:after="0"/>
        <w:jc w:val="center"/>
        <w:rPr>
          <w:rFonts w:ascii="Tahoma" w:hAnsi="Tahoma" w:cs="Tahoma"/>
          <w:b/>
          <w:sz w:val="32"/>
          <w:szCs w:val="32"/>
        </w:rPr>
      </w:pPr>
    </w:p>
    <w:p w:rsidR="00745A50" w:rsidRPr="00745A50" w:rsidRDefault="00745A50" w:rsidP="00745A50">
      <w:pPr>
        <w:pStyle w:val="default0"/>
        <w:numPr>
          <w:ilvl w:val="0"/>
          <w:numId w:val="6"/>
        </w:numPr>
        <w:spacing w:after="0"/>
        <w:ind w:left="284" w:hanging="284"/>
        <w:jc w:val="center"/>
        <w:rPr>
          <w:rFonts w:ascii="Tahoma" w:hAnsi="Tahoma" w:cs="Tahoma"/>
          <w:b/>
          <w:sz w:val="22"/>
          <w:szCs w:val="20"/>
        </w:rPr>
      </w:pPr>
      <w:r w:rsidRPr="00745A50">
        <w:rPr>
          <w:rFonts w:ascii="Tahoma" w:hAnsi="Tahoma" w:cs="Tahoma"/>
          <w:b/>
          <w:sz w:val="22"/>
          <w:szCs w:val="20"/>
        </w:rPr>
        <w:t xml:space="preserve">Se pone en valor el </w:t>
      </w:r>
      <w:r w:rsidRPr="00745A50">
        <w:rPr>
          <w:rFonts w:ascii="Tahoma" w:hAnsi="Tahoma" w:cs="Tahoma"/>
          <w:b/>
          <w:sz w:val="22"/>
          <w:szCs w:val="20"/>
        </w:rPr>
        <w:t xml:space="preserve">Acuerdo Estratégico Regional de Prevención de Riesgos Laborales 2022-2026 </w:t>
      </w:r>
      <w:r w:rsidRPr="00745A50">
        <w:rPr>
          <w:rFonts w:ascii="Tahoma" w:hAnsi="Tahoma" w:cs="Tahoma"/>
          <w:b/>
          <w:sz w:val="22"/>
          <w:szCs w:val="20"/>
        </w:rPr>
        <w:t xml:space="preserve">que este próximo viernes se firmará </w:t>
      </w:r>
      <w:r w:rsidRPr="00745A50">
        <w:rPr>
          <w:rFonts w:ascii="Tahoma" w:hAnsi="Tahoma" w:cs="Tahoma"/>
          <w:b/>
          <w:sz w:val="22"/>
          <w:szCs w:val="20"/>
        </w:rPr>
        <w:t xml:space="preserve">entre </w:t>
      </w:r>
      <w:r w:rsidRPr="00745A50">
        <w:rPr>
          <w:rFonts w:ascii="Tahoma" w:hAnsi="Tahoma" w:cs="Tahoma"/>
          <w:b/>
          <w:sz w:val="22"/>
          <w:szCs w:val="20"/>
        </w:rPr>
        <w:t>el Gobierno de Castilla-La Mancha y</w:t>
      </w:r>
      <w:r>
        <w:rPr>
          <w:rFonts w:ascii="Tahoma" w:hAnsi="Tahoma" w:cs="Tahoma"/>
          <w:b/>
          <w:sz w:val="22"/>
          <w:szCs w:val="20"/>
        </w:rPr>
        <w:t xml:space="preserve"> los agentes sociales</w:t>
      </w:r>
    </w:p>
    <w:p w:rsidR="00745A50" w:rsidRDefault="00745A50" w:rsidP="009720E6">
      <w:pPr>
        <w:pStyle w:val="default0"/>
        <w:spacing w:before="0" w:after="0"/>
        <w:jc w:val="center"/>
        <w:rPr>
          <w:rFonts w:ascii="Tahoma" w:hAnsi="Tahoma" w:cs="Tahoma"/>
          <w:b/>
          <w:sz w:val="32"/>
          <w:szCs w:val="32"/>
        </w:rPr>
      </w:pPr>
    </w:p>
    <w:p w:rsidR="00745A50" w:rsidRDefault="009720E6" w:rsidP="00745A50">
      <w:pPr>
        <w:pStyle w:val="default0"/>
        <w:spacing w:after="0"/>
        <w:jc w:val="both"/>
        <w:rPr>
          <w:rFonts w:ascii="Tahoma" w:hAnsi="Tahoma" w:cs="Tahoma"/>
          <w:sz w:val="22"/>
          <w:szCs w:val="20"/>
        </w:rPr>
      </w:pPr>
      <w:r w:rsidRPr="00745A50">
        <w:rPr>
          <w:rFonts w:ascii="Tahoma" w:hAnsi="Tahoma" w:cs="Tahoma"/>
          <w:sz w:val="22"/>
          <w:szCs w:val="20"/>
        </w:rPr>
        <w:t xml:space="preserve">La </w:t>
      </w:r>
      <w:hyperlink r:id="rId8" w:history="1">
        <w:r w:rsidRPr="00745A50">
          <w:rPr>
            <w:rStyle w:val="Hipervnculo"/>
            <w:rFonts w:ascii="Tahoma" w:hAnsi="Tahoma" w:cs="Tahoma"/>
            <w:sz w:val="22"/>
            <w:szCs w:val="20"/>
          </w:rPr>
          <w:t>Confederación de Empresarios de Albacete</w:t>
        </w:r>
        <w:r w:rsidR="00745A50" w:rsidRPr="00745A50">
          <w:rPr>
            <w:rStyle w:val="Hipervnculo"/>
            <w:rFonts w:ascii="Tahoma" w:hAnsi="Tahoma" w:cs="Tahoma"/>
            <w:sz w:val="22"/>
            <w:szCs w:val="20"/>
          </w:rPr>
          <w:t>, FEDA</w:t>
        </w:r>
      </w:hyperlink>
      <w:r w:rsidR="00745A50">
        <w:rPr>
          <w:rFonts w:ascii="Tahoma" w:hAnsi="Tahoma" w:cs="Tahoma"/>
          <w:sz w:val="22"/>
          <w:szCs w:val="20"/>
        </w:rPr>
        <w:t>,</w:t>
      </w:r>
      <w:r w:rsidRPr="00745A50">
        <w:rPr>
          <w:rFonts w:ascii="Tahoma" w:hAnsi="Tahoma" w:cs="Tahoma"/>
          <w:sz w:val="22"/>
          <w:szCs w:val="20"/>
        </w:rPr>
        <w:t xml:space="preserve"> </w:t>
      </w:r>
      <w:r w:rsidR="00745A50">
        <w:rPr>
          <w:rFonts w:ascii="Tahoma" w:hAnsi="Tahoma" w:cs="Tahoma"/>
          <w:sz w:val="22"/>
          <w:szCs w:val="20"/>
        </w:rPr>
        <w:t>con motivo del Día Mundial de la Seguridad y Salud en el Trabajo, que se celebra el día 28 de</w:t>
      </w:r>
      <w:r w:rsidRPr="00745A50">
        <w:rPr>
          <w:rFonts w:ascii="Tahoma" w:hAnsi="Tahoma" w:cs="Tahoma"/>
          <w:sz w:val="22"/>
          <w:szCs w:val="20"/>
        </w:rPr>
        <w:t xml:space="preserve"> abril, quiere poner de manifiesto su firme compromiso institucional con la prevención de riesgos laborales, al tiempo </w:t>
      </w:r>
      <w:r w:rsidR="00745A50">
        <w:rPr>
          <w:rFonts w:ascii="Tahoma" w:hAnsi="Tahoma" w:cs="Tahoma"/>
          <w:sz w:val="22"/>
          <w:szCs w:val="20"/>
        </w:rPr>
        <w:t>que</w:t>
      </w:r>
      <w:r w:rsidRPr="00745A50">
        <w:rPr>
          <w:rFonts w:ascii="Tahoma" w:hAnsi="Tahoma" w:cs="Tahoma"/>
          <w:sz w:val="22"/>
          <w:szCs w:val="20"/>
        </w:rPr>
        <w:t xml:space="preserve"> reconocer el esfuerzo que en materia de seguridad y salud se ha adoptado por parte del tejido empresarial de la provincia, en la cooperación y la prevención de la propagación de la transmisión para evitar los contagios por Covid-19 en el entorno laboral.</w:t>
      </w:r>
    </w:p>
    <w:p w:rsidR="00745A50" w:rsidRPr="00745A50" w:rsidRDefault="009720E6" w:rsidP="009720E6">
      <w:pPr>
        <w:pStyle w:val="default0"/>
        <w:spacing w:after="0"/>
        <w:jc w:val="both"/>
      </w:pPr>
      <w:r w:rsidRPr="00745A50">
        <w:rPr>
          <w:rFonts w:ascii="Tahoma" w:hAnsi="Tahoma" w:cs="Tahoma"/>
          <w:sz w:val="22"/>
          <w:szCs w:val="20"/>
        </w:rPr>
        <w:t>Este día forma parte de la estrategia global en materia de seguridad y salud laboral, tal y como se establece en las Conclusiones de la Conferencia Internacional del Trabajo de junio de 2003, promueve la prevención de los accidentes y las enfermedades profesionales en todo el mundo. Para conmemorar este Día Mundial en 2022, la OIT ha elegido como lema “Actuar juntos para construir una cultura de seguridad y salud positiva”, que pone foco en la participación y el diálogo social, como herramientas clave para la creación de una cultura positiva de seguridad y salud.</w:t>
      </w:r>
    </w:p>
    <w:p w:rsidR="009720E6" w:rsidRPr="00745A50" w:rsidRDefault="009720E6" w:rsidP="009720E6">
      <w:pPr>
        <w:pStyle w:val="default0"/>
        <w:spacing w:after="0"/>
        <w:jc w:val="both"/>
      </w:pPr>
      <w:r w:rsidRPr="00745A50">
        <w:rPr>
          <w:rFonts w:ascii="Tahoma" w:hAnsi="Tahoma" w:cs="Tahoma"/>
          <w:sz w:val="22"/>
          <w:szCs w:val="20"/>
        </w:rPr>
        <w:t>Siguiendo las directrices de la OIT, FEDA está convencida de la importancia del diálogo social y la participación de todos los agentes implicados en la mejora de las condiciones de trabajo, así como contribuir al desarrollo de una cultura de prevención sólida y positiva en los centros de trabajo, con el objetivo común de preservar la salud de los trabajadores y trabajadoras.</w:t>
      </w:r>
    </w:p>
    <w:p w:rsidR="009720E6" w:rsidRPr="00745A50" w:rsidRDefault="009720E6" w:rsidP="009720E6">
      <w:pPr>
        <w:pStyle w:val="default0"/>
        <w:spacing w:after="0"/>
        <w:jc w:val="both"/>
      </w:pPr>
      <w:r w:rsidRPr="00745A50">
        <w:rPr>
          <w:rFonts w:ascii="Tahoma" w:hAnsi="Tahoma" w:cs="Tahoma"/>
          <w:sz w:val="22"/>
          <w:szCs w:val="20"/>
        </w:rPr>
        <w:t>FEDA se pone a disposición de las empresas</w:t>
      </w:r>
      <w:r w:rsidR="00745A50">
        <w:rPr>
          <w:rFonts w:ascii="Tahoma" w:hAnsi="Tahoma" w:cs="Tahoma"/>
          <w:sz w:val="22"/>
          <w:szCs w:val="20"/>
        </w:rPr>
        <w:t xml:space="preserve"> a través de </w:t>
      </w:r>
      <w:r w:rsidRPr="00745A50">
        <w:rPr>
          <w:rFonts w:ascii="Tahoma" w:hAnsi="Tahoma" w:cs="Tahoma"/>
          <w:sz w:val="22"/>
          <w:szCs w:val="20"/>
        </w:rPr>
        <w:t xml:space="preserve">su </w:t>
      </w:r>
      <w:hyperlink r:id="rId9" w:history="1">
        <w:r w:rsidRPr="00745A50">
          <w:rPr>
            <w:rStyle w:val="Hipervnculo"/>
            <w:rFonts w:ascii="Tahoma" w:hAnsi="Tahoma" w:cs="Tahoma"/>
            <w:sz w:val="22"/>
            <w:szCs w:val="20"/>
          </w:rPr>
          <w:t>Área de Prevención de Riesgos Laborales</w:t>
        </w:r>
      </w:hyperlink>
      <w:r w:rsidRPr="00745A50">
        <w:rPr>
          <w:rFonts w:ascii="Tahoma" w:hAnsi="Tahoma" w:cs="Tahoma"/>
          <w:sz w:val="22"/>
          <w:szCs w:val="20"/>
        </w:rPr>
        <w:t>, mediante el asesoramiento y asistencia técnica personalizada, además de contribuir a la difusión de la cultura preventiva y el refuerzo de la prevención de riesgos laborales en las empresas. A través de proyectos de sensibilización con el objetivo de impulsar y difundir la Prevención de Riesgos Laborales en las empresas se presta asesoramiento a empresas en visitas in situ y seguimientos a los centros de trabajo, atención de consultas y gestiones en materia preventiva. En la misma línea, pone a disposición de las empresas publicaciones informativas específicas como guías y manuales de PRL específicos y sectoriales.</w:t>
      </w:r>
    </w:p>
    <w:p w:rsidR="00745A50" w:rsidRDefault="009720E6" w:rsidP="009720E6">
      <w:pPr>
        <w:pStyle w:val="default0"/>
        <w:spacing w:after="0"/>
        <w:jc w:val="both"/>
        <w:rPr>
          <w:rFonts w:ascii="Tahoma" w:hAnsi="Tahoma" w:cs="Tahoma"/>
          <w:sz w:val="22"/>
          <w:szCs w:val="20"/>
        </w:rPr>
      </w:pPr>
      <w:r w:rsidRPr="00745A50">
        <w:rPr>
          <w:rFonts w:ascii="Tahoma" w:hAnsi="Tahoma" w:cs="Tahoma"/>
          <w:sz w:val="22"/>
          <w:szCs w:val="20"/>
        </w:rPr>
        <w:t xml:space="preserve">En aras de conseguir la excelencia en materia preventiva en la provincia, esta labor se desarrolla a través del convenio de colaboración con </w:t>
      </w:r>
      <w:hyperlink r:id="rId10" w:history="1">
        <w:r w:rsidRPr="00745A50">
          <w:rPr>
            <w:rStyle w:val="Hipervnculo"/>
            <w:rFonts w:ascii="Tahoma" w:hAnsi="Tahoma" w:cs="Tahoma"/>
            <w:sz w:val="22"/>
            <w:szCs w:val="20"/>
          </w:rPr>
          <w:t>CECAM</w:t>
        </w:r>
      </w:hyperlink>
      <w:r w:rsidRPr="00745A50">
        <w:rPr>
          <w:rFonts w:ascii="Tahoma" w:hAnsi="Tahoma" w:cs="Tahoma"/>
          <w:sz w:val="22"/>
          <w:szCs w:val="20"/>
        </w:rPr>
        <w:t>, con la financiación de la Junta de Comunidades de Castilla-La Mancha bajo el paraguas de la Estrategia Española de Seguridad y Salud en el Trabajo (2015-2020) avalada por el Marco Estratégico de Seguridad y Salud en el trabajo 2021-2027 de la Comisión Europea</w:t>
      </w:r>
      <w:r w:rsidR="00745A50">
        <w:rPr>
          <w:rFonts w:ascii="Tahoma" w:hAnsi="Tahoma" w:cs="Tahoma"/>
          <w:sz w:val="22"/>
          <w:szCs w:val="20"/>
        </w:rPr>
        <w:t>,</w:t>
      </w:r>
      <w:r w:rsidRPr="00745A50">
        <w:rPr>
          <w:rFonts w:ascii="Tahoma" w:hAnsi="Tahoma" w:cs="Tahoma"/>
          <w:sz w:val="22"/>
          <w:szCs w:val="20"/>
        </w:rPr>
        <w:t xml:space="preserve"> que define las acciones clave para mejorar la seguridad y salud de la población trabajadora, abordando los rápidos cambios en la economía, la demog</w:t>
      </w:r>
      <w:r w:rsidR="00745A50">
        <w:rPr>
          <w:rFonts w:ascii="Tahoma" w:hAnsi="Tahoma" w:cs="Tahoma"/>
          <w:sz w:val="22"/>
          <w:szCs w:val="20"/>
        </w:rPr>
        <w:t>rafía y los patrones de trabajo</w:t>
      </w:r>
      <w:r w:rsidRPr="00745A50">
        <w:rPr>
          <w:rFonts w:ascii="Tahoma" w:hAnsi="Tahoma" w:cs="Tahoma"/>
          <w:sz w:val="22"/>
          <w:szCs w:val="20"/>
        </w:rPr>
        <w:t xml:space="preserve"> y</w:t>
      </w:r>
      <w:r w:rsidR="00745A50">
        <w:rPr>
          <w:rFonts w:ascii="Tahoma" w:hAnsi="Tahoma" w:cs="Tahoma"/>
          <w:sz w:val="22"/>
          <w:szCs w:val="20"/>
        </w:rPr>
        <w:t>,</w:t>
      </w:r>
      <w:r w:rsidRPr="00745A50">
        <w:rPr>
          <w:rFonts w:ascii="Tahoma" w:hAnsi="Tahoma" w:cs="Tahoma"/>
          <w:sz w:val="22"/>
          <w:szCs w:val="20"/>
        </w:rPr>
        <w:t xml:space="preserve"> principalmente</w:t>
      </w:r>
      <w:r w:rsidR="00745A50">
        <w:rPr>
          <w:rFonts w:ascii="Tahoma" w:hAnsi="Tahoma" w:cs="Tahoma"/>
          <w:sz w:val="22"/>
          <w:szCs w:val="20"/>
        </w:rPr>
        <w:t>,</w:t>
      </w:r>
      <w:r w:rsidRPr="00745A50">
        <w:rPr>
          <w:rFonts w:ascii="Tahoma" w:hAnsi="Tahoma" w:cs="Tahoma"/>
          <w:sz w:val="22"/>
          <w:szCs w:val="20"/>
        </w:rPr>
        <w:t xml:space="preserve"> por el acuerdo que se firmará el próximo viernes, sobre el Acuerdo Estratégico Regional de Prevención de Riesgos Laborales 2022-2026 entre </w:t>
      </w:r>
      <w:hyperlink r:id="rId11" w:history="1">
        <w:r w:rsidR="00745A50">
          <w:rPr>
            <w:rStyle w:val="Hipervnculo"/>
            <w:rFonts w:ascii="Tahoma" w:hAnsi="Tahoma" w:cs="Tahoma"/>
            <w:sz w:val="22"/>
            <w:szCs w:val="20"/>
          </w:rPr>
          <w:t>Gobierno r</w:t>
        </w:r>
        <w:bookmarkStart w:id="0" w:name="_GoBack"/>
        <w:bookmarkEnd w:id="0"/>
        <w:r w:rsidRPr="00745A50">
          <w:rPr>
            <w:rStyle w:val="Hipervnculo"/>
            <w:rFonts w:ascii="Tahoma" w:hAnsi="Tahoma" w:cs="Tahoma"/>
            <w:sz w:val="22"/>
            <w:szCs w:val="20"/>
          </w:rPr>
          <w:t>egional</w:t>
        </w:r>
      </w:hyperlink>
      <w:r w:rsidRPr="00745A50">
        <w:rPr>
          <w:rFonts w:ascii="Tahoma" w:hAnsi="Tahoma" w:cs="Tahoma"/>
          <w:sz w:val="22"/>
          <w:szCs w:val="20"/>
        </w:rPr>
        <w:t xml:space="preserve"> y los agentes sociales. </w:t>
      </w:r>
    </w:p>
    <w:p w:rsidR="00745A50" w:rsidRDefault="00745A50" w:rsidP="009720E6">
      <w:pPr>
        <w:pStyle w:val="default0"/>
        <w:spacing w:after="0"/>
        <w:jc w:val="both"/>
        <w:rPr>
          <w:rFonts w:ascii="Tahoma" w:hAnsi="Tahoma" w:cs="Tahoma"/>
          <w:sz w:val="22"/>
          <w:szCs w:val="20"/>
        </w:rPr>
      </w:pPr>
    </w:p>
    <w:p w:rsidR="00745A50" w:rsidRDefault="00745A50" w:rsidP="009720E6">
      <w:pPr>
        <w:pStyle w:val="default0"/>
        <w:spacing w:after="0"/>
        <w:jc w:val="both"/>
        <w:rPr>
          <w:rFonts w:ascii="Tahoma" w:hAnsi="Tahoma" w:cs="Tahoma"/>
          <w:sz w:val="22"/>
          <w:szCs w:val="20"/>
        </w:rPr>
      </w:pPr>
    </w:p>
    <w:p w:rsidR="009720E6" w:rsidRPr="00745A50" w:rsidRDefault="009720E6" w:rsidP="009720E6">
      <w:pPr>
        <w:pStyle w:val="default0"/>
        <w:spacing w:after="0"/>
        <w:jc w:val="both"/>
      </w:pPr>
      <w:r w:rsidRPr="00745A50">
        <w:rPr>
          <w:rFonts w:ascii="Tahoma" w:hAnsi="Tahoma" w:cs="Tahoma"/>
          <w:sz w:val="22"/>
          <w:szCs w:val="20"/>
        </w:rPr>
        <w:t xml:space="preserve">Dicho acuerdo marcará la próxima hoja de ruta para mejorar las condiciones de trabajo y entornos de trabajo seguros y saludables. En esta línea de trabajo coordinada, desde el área de prevención de FEDA, se continuará asesorando a las empresas en la implantación e integración efectiva de la Prevención de Riesgos Laborales como piedra angular de la cultura preventiva, con el objetivo de lograr un entorno laboral cada vez más seguro y saludable. </w:t>
      </w:r>
    </w:p>
    <w:p w:rsidR="009720E6" w:rsidRPr="00745A50" w:rsidRDefault="009720E6" w:rsidP="009720E6">
      <w:pPr>
        <w:pStyle w:val="default0"/>
        <w:spacing w:after="0"/>
        <w:jc w:val="both"/>
      </w:pPr>
      <w:r w:rsidRPr="00745A50">
        <w:rPr>
          <w:rFonts w:ascii="Tahoma" w:hAnsi="Tahoma" w:cs="Tahoma"/>
          <w:sz w:val="22"/>
          <w:szCs w:val="20"/>
        </w:rPr>
        <w:lastRenderedPageBreak/>
        <w:t>Un trabajo que además, tras dos años de pandemia por la Covid-19, ha puesto de manifiesto que la salud pública y la salud laboral deben de ir de la mano y que “garantizar las condiciones de seguridad y salud en los centro de trabajo ha sido una de las claves para contener y controlar la trasmisión del virus”.</w:t>
      </w:r>
    </w:p>
    <w:p w:rsidR="00005C14" w:rsidRDefault="00005C14" w:rsidP="00BE1132">
      <w:pPr>
        <w:jc w:val="right"/>
        <w:rPr>
          <w:rFonts w:ascii="Tahoma" w:hAnsi="Tahoma" w:cs="Tahoma"/>
          <w:bCs/>
          <w:szCs w:val="24"/>
        </w:rPr>
      </w:pPr>
    </w:p>
    <w:sectPr w:rsidR="00005C14" w:rsidSect="00237893">
      <w:headerReference w:type="default" r:id="rId12"/>
      <w:footerReference w:type="even" r:id="rId13"/>
      <w:footerReference w:type="default" r:id="rId14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61EC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61EC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2471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61EC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2471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61EC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2471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1ECF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E79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stillalamancha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ecam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asesoramiento-tecnico/prevencion-riesgos-laborales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75754-ABD2-4144-9DFC-A4D51954B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4331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2022-04-27T15:30:00Z</dcterms:created>
  <dcterms:modified xsi:type="dcterms:W3CDTF">2022-04-27T15:30:00Z</dcterms:modified>
</cp:coreProperties>
</file>