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2CAB" w:rsidRDefault="00852CAB" w:rsidP="00A31FCB">
      <w:pPr>
        <w:jc w:val="right"/>
        <w:textAlignment w:val="baseline"/>
        <w:rPr>
          <w:rFonts w:ascii="Tahoma" w:hAnsi="Tahoma" w:cs="Tahoma"/>
          <w:bCs/>
          <w:color w:val="000000"/>
          <w:szCs w:val="24"/>
          <w:bdr w:val="none" w:sz="0" w:space="0" w:color="auto" w:frame="1"/>
          <w:lang w:val="es-ES"/>
        </w:rPr>
      </w:pPr>
    </w:p>
    <w:p w:rsidR="00BE3DD6" w:rsidRDefault="00BE3DD6" w:rsidP="00A31FCB">
      <w:pPr>
        <w:jc w:val="right"/>
        <w:textAlignment w:val="baseline"/>
        <w:rPr>
          <w:rFonts w:ascii="Tahoma" w:hAnsi="Tahoma" w:cs="Tahoma"/>
          <w:bCs/>
          <w:color w:val="000000"/>
          <w:szCs w:val="24"/>
          <w:bdr w:val="none" w:sz="0" w:space="0" w:color="auto" w:frame="1"/>
          <w:lang w:val="es-ES"/>
        </w:rPr>
      </w:pPr>
    </w:p>
    <w:p w:rsidR="00852CAB" w:rsidRPr="00EC1511" w:rsidRDefault="00852CAB" w:rsidP="00A31FCB">
      <w:pPr>
        <w:jc w:val="right"/>
        <w:textAlignment w:val="baseline"/>
        <w:rPr>
          <w:rFonts w:ascii="Tahoma" w:hAnsi="Tahoma" w:cs="Tahoma"/>
          <w:bCs/>
          <w:color w:val="000000"/>
          <w:sz w:val="22"/>
          <w:szCs w:val="22"/>
          <w:bdr w:val="none" w:sz="0" w:space="0" w:color="auto" w:frame="1"/>
          <w:lang w:val="es-ES"/>
        </w:rPr>
      </w:pPr>
      <w:r w:rsidRPr="00EC1511">
        <w:rPr>
          <w:rFonts w:ascii="Tahoma" w:hAnsi="Tahoma" w:cs="Tahoma"/>
          <w:bCs/>
          <w:color w:val="000000"/>
          <w:sz w:val="22"/>
          <w:szCs w:val="22"/>
          <w:bdr w:val="none" w:sz="0" w:space="0" w:color="auto" w:frame="1"/>
          <w:lang w:val="es-ES"/>
        </w:rPr>
        <w:t>Albacete, 2</w:t>
      </w:r>
      <w:r w:rsidR="00EC1511" w:rsidRPr="00EC1511">
        <w:rPr>
          <w:rFonts w:ascii="Tahoma" w:hAnsi="Tahoma" w:cs="Tahoma"/>
          <w:bCs/>
          <w:color w:val="000000"/>
          <w:sz w:val="22"/>
          <w:szCs w:val="22"/>
          <w:bdr w:val="none" w:sz="0" w:space="0" w:color="auto" w:frame="1"/>
          <w:lang w:val="es-ES"/>
        </w:rPr>
        <w:t>6</w:t>
      </w:r>
      <w:r w:rsidRPr="00EC1511">
        <w:rPr>
          <w:rFonts w:ascii="Tahoma" w:hAnsi="Tahoma" w:cs="Tahoma"/>
          <w:bCs/>
          <w:color w:val="000000"/>
          <w:sz w:val="22"/>
          <w:szCs w:val="22"/>
          <w:bdr w:val="none" w:sz="0" w:space="0" w:color="auto" w:frame="1"/>
          <w:lang w:val="es-ES"/>
        </w:rPr>
        <w:t xml:space="preserve"> de octubre de 2022</w:t>
      </w:r>
    </w:p>
    <w:p w:rsidR="00852CAB" w:rsidRDefault="00852CAB" w:rsidP="00A31FCB">
      <w:pPr>
        <w:jc w:val="right"/>
        <w:textAlignment w:val="baseline"/>
        <w:rPr>
          <w:rFonts w:ascii="Tahoma" w:hAnsi="Tahoma" w:cs="Tahoma"/>
          <w:bCs/>
          <w:color w:val="000000"/>
          <w:szCs w:val="24"/>
          <w:bdr w:val="none" w:sz="0" w:space="0" w:color="auto" w:frame="1"/>
          <w:lang w:val="es-ES"/>
        </w:rPr>
      </w:pPr>
      <w:bookmarkStart w:id="0" w:name="_GoBack"/>
      <w:bookmarkEnd w:id="0"/>
    </w:p>
    <w:p w:rsidR="00395407" w:rsidRDefault="00395407" w:rsidP="00EC1511">
      <w:pPr>
        <w:shd w:val="clear" w:color="auto" w:fill="FFFFFF"/>
        <w:spacing w:after="120"/>
        <w:jc w:val="center"/>
        <w:rPr>
          <w:rFonts w:ascii="Tahoma" w:hAnsi="Tahoma" w:cs="Tahoma"/>
          <w:b/>
          <w:bCs/>
          <w:sz w:val="32"/>
          <w:szCs w:val="32"/>
        </w:rPr>
      </w:pPr>
      <w:r w:rsidRPr="00EC1511">
        <w:rPr>
          <w:rFonts w:ascii="Tahoma" w:hAnsi="Tahoma" w:cs="Tahoma"/>
          <w:b/>
          <w:bCs/>
          <w:sz w:val="32"/>
          <w:szCs w:val="32"/>
        </w:rPr>
        <w:t xml:space="preserve">FEDA </w:t>
      </w:r>
      <w:r w:rsidR="00EC1511" w:rsidRPr="00EC1511">
        <w:rPr>
          <w:rFonts w:ascii="Tahoma" w:hAnsi="Tahoma" w:cs="Tahoma"/>
          <w:b/>
          <w:bCs/>
          <w:sz w:val="32"/>
          <w:szCs w:val="32"/>
        </w:rPr>
        <w:t xml:space="preserve">y Globalcaja </w:t>
      </w:r>
      <w:r w:rsidRPr="00EC1511">
        <w:rPr>
          <w:rFonts w:ascii="Tahoma" w:hAnsi="Tahoma" w:cs="Tahoma"/>
          <w:b/>
          <w:bCs/>
          <w:sz w:val="32"/>
          <w:szCs w:val="32"/>
        </w:rPr>
        <w:t>reafirman su compromiso con las empresas de Albacete y provincia para el fortalecimiento de su actividad</w:t>
      </w:r>
    </w:p>
    <w:p w:rsidR="00EC1511" w:rsidRDefault="00EC1511" w:rsidP="00EC1511">
      <w:pPr>
        <w:shd w:val="clear" w:color="auto" w:fill="FFFFFF"/>
        <w:spacing w:after="120"/>
        <w:jc w:val="center"/>
        <w:rPr>
          <w:rFonts w:ascii="Tahoma" w:hAnsi="Tahoma" w:cs="Tahoma"/>
          <w:b/>
          <w:bCs/>
          <w:sz w:val="32"/>
          <w:szCs w:val="32"/>
        </w:rPr>
      </w:pPr>
    </w:p>
    <w:p w:rsidR="00EC1511" w:rsidRPr="00EC1511" w:rsidRDefault="00EC1511" w:rsidP="00EC1511">
      <w:pPr>
        <w:pStyle w:val="Prrafodelista"/>
        <w:numPr>
          <w:ilvl w:val="0"/>
          <w:numId w:val="49"/>
        </w:numPr>
        <w:shd w:val="clear" w:color="auto" w:fill="FFFFFF"/>
        <w:spacing w:after="120"/>
        <w:jc w:val="center"/>
        <w:rPr>
          <w:rFonts w:ascii="Tahoma" w:hAnsi="Tahoma" w:cs="Tahoma"/>
          <w:b/>
          <w:bCs/>
          <w:sz w:val="32"/>
          <w:szCs w:val="32"/>
        </w:rPr>
      </w:pPr>
      <w:r>
        <w:rPr>
          <w:rFonts w:ascii="Tahoma" w:hAnsi="Tahoma" w:cs="Tahoma"/>
          <w:b/>
        </w:rPr>
        <w:t>“L</w:t>
      </w:r>
      <w:r w:rsidRPr="00EC1511">
        <w:rPr>
          <w:rFonts w:ascii="Tahoma" w:hAnsi="Tahoma" w:cs="Tahoma"/>
          <w:b/>
        </w:rPr>
        <w:t>as empresas necesitan el apoyo de toda la sociedad, pero no podemos olvidar que, en estos momentos más que nunca, la sociedad también necesita el impulso y el apoyo de</w:t>
      </w:r>
      <w:r>
        <w:rPr>
          <w:rFonts w:ascii="Tahoma" w:hAnsi="Tahoma" w:cs="Tahoma"/>
          <w:b/>
        </w:rPr>
        <w:t xml:space="preserve"> los empresarios y empresarias”</w:t>
      </w:r>
    </w:p>
    <w:p w:rsidR="00EC1511" w:rsidRDefault="00EC1511" w:rsidP="00EC1511">
      <w:pPr>
        <w:shd w:val="clear" w:color="auto" w:fill="FFFFFF"/>
        <w:spacing w:after="120"/>
        <w:contextualSpacing/>
        <w:rPr>
          <w:rFonts w:ascii="Tahoma" w:hAnsi="Tahoma" w:cs="Tahoma"/>
          <w:sz w:val="22"/>
          <w:szCs w:val="22"/>
        </w:rPr>
      </w:pPr>
    </w:p>
    <w:p w:rsidR="00EC1511" w:rsidRDefault="00EC1511" w:rsidP="00EC1511">
      <w:pPr>
        <w:shd w:val="clear" w:color="auto" w:fill="FFFFFF"/>
        <w:spacing w:after="120"/>
        <w:contextualSpacing/>
        <w:rPr>
          <w:rFonts w:ascii="Tahoma" w:hAnsi="Tahoma" w:cs="Tahoma"/>
          <w:sz w:val="22"/>
          <w:szCs w:val="22"/>
        </w:rPr>
      </w:pPr>
    </w:p>
    <w:p w:rsidR="00395407" w:rsidRDefault="00395407" w:rsidP="00EC1511">
      <w:pPr>
        <w:shd w:val="clear" w:color="auto" w:fill="FFFFFF"/>
        <w:spacing w:after="120"/>
        <w:contextualSpacing/>
        <w:rPr>
          <w:rFonts w:ascii="Tahoma" w:hAnsi="Tahoma" w:cs="Tahoma"/>
          <w:sz w:val="22"/>
          <w:szCs w:val="22"/>
        </w:rPr>
      </w:pPr>
      <w:r w:rsidRPr="00EC1511">
        <w:rPr>
          <w:rFonts w:ascii="Tahoma" w:hAnsi="Tahoma" w:cs="Tahoma"/>
          <w:sz w:val="22"/>
          <w:szCs w:val="22"/>
        </w:rPr>
        <w:t xml:space="preserve">El director general </w:t>
      </w:r>
      <w:r w:rsidR="00EC1511">
        <w:rPr>
          <w:rFonts w:ascii="Tahoma" w:hAnsi="Tahoma" w:cs="Tahoma"/>
          <w:sz w:val="22"/>
          <w:szCs w:val="22"/>
        </w:rPr>
        <w:t xml:space="preserve">de </w:t>
      </w:r>
      <w:hyperlink r:id="rId8" w:history="1">
        <w:r w:rsidR="00EC1511" w:rsidRPr="00EC1511">
          <w:rPr>
            <w:rStyle w:val="Hipervnculo"/>
            <w:rFonts w:ascii="Tahoma" w:hAnsi="Tahoma" w:cs="Tahoma"/>
            <w:sz w:val="22"/>
            <w:szCs w:val="22"/>
          </w:rPr>
          <w:t>Globalcaja</w:t>
        </w:r>
      </w:hyperlink>
      <w:r w:rsidR="00EC1511">
        <w:rPr>
          <w:rFonts w:ascii="Tahoma" w:hAnsi="Tahoma" w:cs="Tahoma"/>
          <w:sz w:val="22"/>
          <w:szCs w:val="22"/>
        </w:rPr>
        <w:t>,</w:t>
      </w:r>
      <w:r w:rsidRPr="00EC1511">
        <w:rPr>
          <w:rFonts w:ascii="Tahoma" w:hAnsi="Tahoma" w:cs="Tahoma"/>
          <w:sz w:val="22"/>
          <w:szCs w:val="22"/>
        </w:rPr>
        <w:t xml:space="preserve"> Pedro Palacios, y el presidente de la </w:t>
      </w:r>
      <w:hyperlink r:id="rId9" w:history="1">
        <w:r w:rsidRPr="00EC1511">
          <w:rPr>
            <w:rStyle w:val="Hipervnculo"/>
            <w:rFonts w:ascii="Tahoma" w:hAnsi="Tahoma" w:cs="Tahoma"/>
            <w:sz w:val="22"/>
            <w:szCs w:val="22"/>
          </w:rPr>
          <w:t xml:space="preserve">Confederación de </w:t>
        </w:r>
        <w:r w:rsidR="00EC1511" w:rsidRPr="00EC1511">
          <w:rPr>
            <w:rStyle w:val="Hipervnculo"/>
            <w:rFonts w:ascii="Tahoma" w:hAnsi="Tahoma" w:cs="Tahoma"/>
            <w:sz w:val="22"/>
            <w:szCs w:val="22"/>
          </w:rPr>
          <w:t>Empresarios de Albacete, FEDA</w:t>
        </w:r>
      </w:hyperlink>
      <w:r w:rsidR="00EC1511">
        <w:rPr>
          <w:rFonts w:ascii="Tahoma" w:hAnsi="Tahoma" w:cs="Tahoma"/>
          <w:sz w:val="22"/>
          <w:szCs w:val="22"/>
        </w:rPr>
        <w:t xml:space="preserve">, Artemio Pérez, </w:t>
      </w:r>
      <w:r w:rsidRPr="00EC1511">
        <w:rPr>
          <w:rFonts w:ascii="Tahoma" w:hAnsi="Tahoma" w:cs="Tahoma"/>
          <w:sz w:val="22"/>
          <w:szCs w:val="22"/>
        </w:rPr>
        <w:t>han renovado el acuerdo que mantienen ambas organizaciones tanto para el impulso de iniciativas empresariales como para que los asociados se beneficien de condiciones favorables en los productos financieros que puedan necesitar.</w:t>
      </w:r>
    </w:p>
    <w:p w:rsidR="00EC1511" w:rsidRPr="00EC1511" w:rsidRDefault="00EC1511" w:rsidP="00EC1511">
      <w:pPr>
        <w:shd w:val="clear" w:color="auto" w:fill="FFFFFF"/>
        <w:spacing w:after="120"/>
        <w:contextualSpacing/>
        <w:rPr>
          <w:rFonts w:ascii="Tahoma" w:hAnsi="Tahoma" w:cs="Tahoma"/>
          <w:sz w:val="22"/>
          <w:szCs w:val="22"/>
        </w:rPr>
      </w:pPr>
    </w:p>
    <w:p w:rsidR="00395407" w:rsidRPr="00EC1511" w:rsidRDefault="00395407" w:rsidP="00EC1511">
      <w:pPr>
        <w:shd w:val="clear" w:color="auto" w:fill="FFFFFF"/>
        <w:autoSpaceDE w:val="0"/>
        <w:autoSpaceDN w:val="0"/>
        <w:adjustRightInd w:val="0"/>
        <w:spacing w:after="120"/>
        <w:rPr>
          <w:rFonts w:ascii="Tahoma" w:hAnsi="Tahoma" w:cs="Tahoma"/>
          <w:sz w:val="22"/>
          <w:szCs w:val="22"/>
        </w:rPr>
      </w:pPr>
      <w:r w:rsidRPr="00EC1511">
        <w:rPr>
          <w:rFonts w:ascii="Tahoma" w:hAnsi="Tahoma" w:cs="Tahoma"/>
          <w:sz w:val="22"/>
          <w:szCs w:val="22"/>
        </w:rPr>
        <w:t>Continuar trabajando conjuntamente por el fortalecimiento del sector empresarial. Ésta es la razón de ser de la alianza que mantienen Globalcaja y la Confederación de Empresarios de Albacete</w:t>
      </w:r>
      <w:r w:rsidR="00EC1511">
        <w:rPr>
          <w:rFonts w:ascii="Tahoma" w:hAnsi="Tahoma" w:cs="Tahoma"/>
          <w:sz w:val="22"/>
          <w:szCs w:val="22"/>
        </w:rPr>
        <w:t xml:space="preserve">, </w:t>
      </w:r>
      <w:r w:rsidRPr="00EC1511">
        <w:rPr>
          <w:rFonts w:ascii="Tahoma" w:hAnsi="Tahoma" w:cs="Tahoma"/>
          <w:sz w:val="22"/>
          <w:szCs w:val="22"/>
        </w:rPr>
        <w:t>FEDA</w:t>
      </w:r>
      <w:r w:rsidR="00EC1511">
        <w:rPr>
          <w:rFonts w:ascii="Tahoma" w:hAnsi="Tahoma" w:cs="Tahoma"/>
          <w:sz w:val="22"/>
          <w:szCs w:val="22"/>
        </w:rPr>
        <w:t xml:space="preserve">, </w:t>
      </w:r>
      <w:r w:rsidRPr="00EC1511">
        <w:rPr>
          <w:rFonts w:ascii="Tahoma" w:hAnsi="Tahoma" w:cs="Tahoma"/>
          <w:sz w:val="22"/>
          <w:szCs w:val="22"/>
        </w:rPr>
        <w:t>desde hace años y que ha sido renovada por el director general de la entidad, Pedro Palacios, y el presidente de FEDA, Artemio Pérez.</w:t>
      </w:r>
    </w:p>
    <w:p w:rsidR="00395407" w:rsidRPr="00EC1511" w:rsidRDefault="00395407" w:rsidP="00EC1511">
      <w:pPr>
        <w:shd w:val="clear" w:color="auto" w:fill="FFFFFF"/>
        <w:autoSpaceDE w:val="0"/>
        <w:autoSpaceDN w:val="0"/>
        <w:adjustRightInd w:val="0"/>
        <w:spacing w:after="120"/>
        <w:rPr>
          <w:rFonts w:ascii="Tahoma" w:hAnsi="Tahoma" w:cs="Tahoma"/>
          <w:sz w:val="22"/>
          <w:szCs w:val="22"/>
        </w:rPr>
      </w:pPr>
      <w:r w:rsidRPr="00EC1511">
        <w:rPr>
          <w:rFonts w:ascii="Tahoma" w:hAnsi="Tahoma" w:cs="Tahoma"/>
          <w:sz w:val="22"/>
          <w:szCs w:val="22"/>
        </w:rPr>
        <w:t>Se trata de un acuerdo que pone de manifiesto el compromiso de Globalcaja con las empresas, pymes y autónomos de nuestra tierra. En este sentido, Pedro Palacios, quien ha agradecido a Artemio</w:t>
      </w:r>
      <w:r w:rsidR="00EC1511">
        <w:rPr>
          <w:rFonts w:ascii="Tahoma" w:hAnsi="Tahoma" w:cs="Tahoma"/>
          <w:sz w:val="22"/>
          <w:szCs w:val="22"/>
        </w:rPr>
        <w:t xml:space="preserve"> Pérez</w:t>
      </w:r>
      <w:r w:rsidRPr="00EC1511">
        <w:rPr>
          <w:rFonts w:ascii="Tahoma" w:hAnsi="Tahoma" w:cs="Tahoma"/>
          <w:sz w:val="22"/>
          <w:szCs w:val="22"/>
        </w:rPr>
        <w:t xml:space="preserve"> la labor que viene desarrollando al frente de la Confederación, ha señalado que, en una situación como la actual, “las empresas necesitan el apoyo de toda la sociedad, pero no podemos olvidar que, en estos momentos más que nunca, la sociedad también necesita el impulso y el apoyo de las empresas y de los empresarios. Por eso, estos convenios vienen a poner encima de la mesa, no solo condiciones ventajosas, no solo financiación, también organizar conjuntamente con FEDA distintas iniciativas que a los empresarios les hagan la vida más cómoda”.</w:t>
      </w:r>
    </w:p>
    <w:p w:rsidR="00395407" w:rsidRPr="00EC1511" w:rsidRDefault="00395407" w:rsidP="00EC1511">
      <w:pPr>
        <w:shd w:val="clear" w:color="auto" w:fill="FFFFFF"/>
        <w:autoSpaceDE w:val="0"/>
        <w:autoSpaceDN w:val="0"/>
        <w:adjustRightInd w:val="0"/>
        <w:spacing w:after="120"/>
        <w:rPr>
          <w:rFonts w:ascii="Tahoma" w:hAnsi="Tahoma" w:cs="Tahoma"/>
          <w:sz w:val="22"/>
          <w:szCs w:val="22"/>
        </w:rPr>
      </w:pPr>
      <w:r w:rsidRPr="00EC1511">
        <w:rPr>
          <w:rFonts w:ascii="Tahoma" w:hAnsi="Tahoma" w:cs="Tahoma"/>
          <w:sz w:val="22"/>
          <w:szCs w:val="22"/>
        </w:rPr>
        <w:t>Por su parte, Artemio Pérez ha calificado a Globalcaja como la “entidad de referencia para la Confederación” y ha puesto en valor la colaboración que mantienen tanto desde un punto de vista financiero, como social. “Tenemos dos convenios. Uno es de apoyo a todas las gestiones y actividades que realiza la Confederación, siendo la entidad que más colabora con FEDA, y otro convenio para que nuestros 12.000 asociados puedan beneficiarse de condiciones favorables en cualquier producto financiero que necesiten para la exportación o supervivencia de sus negocios”, ha destacado.</w:t>
      </w:r>
    </w:p>
    <w:p w:rsidR="00395407" w:rsidRPr="00EC1511" w:rsidRDefault="00395407" w:rsidP="00EC1511">
      <w:pPr>
        <w:shd w:val="clear" w:color="auto" w:fill="FFFFFF"/>
        <w:autoSpaceDE w:val="0"/>
        <w:autoSpaceDN w:val="0"/>
        <w:adjustRightInd w:val="0"/>
        <w:spacing w:after="120"/>
        <w:rPr>
          <w:rFonts w:ascii="Tahoma" w:hAnsi="Tahoma" w:cs="Tahoma"/>
          <w:b/>
          <w:sz w:val="22"/>
          <w:szCs w:val="22"/>
        </w:rPr>
      </w:pPr>
      <w:r w:rsidRPr="00EC1511">
        <w:rPr>
          <w:rFonts w:ascii="Tahoma" w:hAnsi="Tahoma" w:cs="Tahoma"/>
          <w:b/>
          <w:sz w:val="22"/>
          <w:szCs w:val="22"/>
        </w:rPr>
        <w:t>Comprometidos con empresarios y pymes</w:t>
      </w:r>
    </w:p>
    <w:p w:rsidR="00395407" w:rsidRPr="00EC1511" w:rsidRDefault="00395407" w:rsidP="00EC1511">
      <w:pPr>
        <w:shd w:val="clear" w:color="auto" w:fill="FFFFFF"/>
        <w:autoSpaceDE w:val="0"/>
        <w:autoSpaceDN w:val="0"/>
        <w:adjustRightInd w:val="0"/>
        <w:spacing w:after="120"/>
        <w:rPr>
          <w:rFonts w:ascii="Tahoma" w:hAnsi="Tahoma" w:cs="Tahoma"/>
          <w:sz w:val="22"/>
          <w:szCs w:val="22"/>
        </w:rPr>
      </w:pPr>
      <w:r w:rsidRPr="00EC1511">
        <w:rPr>
          <w:rFonts w:ascii="Tahoma" w:hAnsi="Tahoma" w:cs="Tahoma"/>
          <w:sz w:val="22"/>
          <w:szCs w:val="22"/>
        </w:rPr>
        <w:t xml:space="preserve">En este sentido, el </w:t>
      </w:r>
      <w:hyperlink r:id="rId10" w:history="1">
        <w:r w:rsidRPr="00EC1511">
          <w:rPr>
            <w:rStyle w:val="Hipervnculo"/>
            <w:rFonts w:ascii="Tahoma" w:hAnsi="Tahoma" w:cs="Tahoma"/>
            <w:sz w:val="22"/>
            <w:szCs w:val="22"/>
          </w:rPr>
          <w:t>acuerdo contempla condiciones ventajosas en materia de financiación</w:t>
        </w:r>
      </w:hyperlink>
      <w:r w:rsidRPr="00EC1511">
        <w:rPr>
          <w:rFonts w:ascii="Tahoma" w:hAnsi="Tahoma" w:cs="Tahoma"/>
          <w:sz w:val="22"/>
          <w:szCs w:val="22"/>
        </w:rPr>
        <w:t>, leasing, avales, comercio internacional, confirming, anticipo de facturas, ayudas y subvenciones oficiales, líneas ICO y otra serie de productos y servicios como TPV, crédito al consumo en el comercio de Globalcaja y seguros personales y patrimoniales, entre otros.</w:t>
      </w:r>
    </w:p>
    <w:p w:rsidR="00EC1511" w:rsidRDefault="00EC1511" w:rsidP="00EC1511">
      <w:pPr>
        <w:shd w:val="clear" w:color="auto" w:fill="FFFFFF"/>
        <w:autoSpaceDE w:val="0"/>
        <w:autoSpaceDN w:val="0"/>
        <w:adjustRightInd w:val="0"/>
        <w:spacing w:after="120"/>
        <w:rPr>
          <w:rFonts w:ascii="Tahoma" w:hAnsi="Tahoma" w:cs="Tahoma"/>
          <w:sz w:val="22"/>
          <w:szCs w:val="22"/>
        </w:rPr>
      </w:pPr>
    </w:p>
    <w:p w:rsidR="00EC1511" w:rsidRDefault="00EC1511" w:rsidP="00EC1511">
      <w:pPr>
        <w:shd w:val="clear" w:color="auto" w:fill="FFFFFF"/>
        <w:autoSpaceDE w:val="0"/>
        <w:autoSpaceDN w:val="0"/>
        <w:adjustRightInd w:val="0"/>
        <w:spacing w:after="120"/>
        <w:rPr>
          <w:rFonts w:ascii="Tahoma" w:hAnsi="Tahoma" w:cs="Tahoma"/>
          <w:sz w:val="22"/>
          <w:szCs w:val="22"/>
        </w:rPr>
      </w:pPr>
    </w:p>
    <w:p w:rsidR="00EC1511" w:rsidRDefault="00EC1511" w:rsidP="00EC1511">
      <w:pPr>
        <w:shd w:val="clear" w:color="auto" w:fill="FFFFFF"/>
        <w:autoSpaceDE w:val="0"/>
        <w:autoSpaceDN w:val="0"/>
        <w:adjustRightInd w:val="0"/>
        <w:spacing w:after="120"/>
        <w:rPr>
          <w:rFonts w:ascii="Tahoma" w:hAnsi="Tahoma" w:cs="Tahoma"/>
          <w:sz w:val="22"/>
          <w:szCs w:val="22"/>
        </w:rPr>
      </w:pPr>
    </w:p>
    <w:p w:rsidR="00395407" w:rsidRPr="00EC1511" w:rsidRDefault="00395407" w:rsidP="00EC1511">
      <w:pPr>
        <w:shd w:val="clear" w:color="auto" w:fill="FFFFFF"/>
        <w:autoSpaceDE w:val="0"/>
        <w:autoSpaceDN w:val="0"/>
        <w:adjustRightInd w:val="0"/>
        <w:spacing w:after="120"/>
        <w:rPr>
          <w:rFonts w:ascii="Tahoma" w:hAnsi="Tahoma" w:cs="Tahoma"/>
          <w:sz w:val="22"/>
          <w:szCs w:val="22"/>
        </w:rPr>
      </w:pPr>
      <w:r w:rsidRPr="00EC1511">
        <w:rPr>
          <w:rFonts w:ascii="Tahoma" w:hAnsi="Tahoma" w:cs="Tahoma"/>
          <w:sz w:val="22"/>
          <w:szCs w:val="22"/>
        </w:rPr>
        <w:t xml:space="preserve">Globalcaja viene colaborando con la Confederación de forma habitual en el desarrollo de iniciativas como los Premios Empresariales San Juan, los seminarios In-FEDA, acciones de promoción del sector comercio a través de FECOM, entre otras, y a través de la Fundación, la entidad es </w:t>
      </w:r>
      <w:r w:rsidRPr="00EC1511">
        <w:rPr>
          <w:rFonts w:ascii="Tahoma" w:hAnsi="Tahoma" w:cs="Tahoma"/>
          <w:i/>
          <w:sz w:val="22"/>
          <w:szCs w:val="22"/>
        </w:rPr>
        <w:t>partner</w:t>
      </w:r>
      <w:r w:rsidRPr="00EC1511">
        <w:rPr>
          <w:rFonts w:ascii="Tahoma" w:hAnsi="Tahoma" w:cs="Tahoma"/>
          <w:sz w:val="22"/>
          <w:szCs w:val="22"/>
        </w:rPr>
        <w:t xml:space="preserve"> estratégico de la Escuela de Negocios FEDA y del MBA Executive. “A nosotros siempre nos tendrán como parte de la solución. En Globalcaja tenemos claro que no es lo mismo decir, que hacer y por eso estamos totalmente implicados con los empresarios de Albacete y de Castilla-La Mancha”, ha concluido su director general.</w:t>
      </w:r>
    </w:p>
    <w:p w:rsidR="005965F7" w:rsidRDefault="005965F7" w:rsidP="00A31FCB">
      <w:pPr>
        <w:jc w:val="right"/>
        <w:textAlignment w:val="baseline"/>
        <w:rPr>
          <w:rFonts w:ascii="Tahoma" w:hAnsi="Tahoma" w:cs="Tahoma"/>
          <w:bCs/>
          <w:color w:val="000000"/>
          <w:sz w:val="22"/>
          <w:szCs w:val="22"/>
          <w:bdr w:val="none" w:sz="0" w:space="0" w:color="auto" w:frame="1"/>
          <w:lang w:val="es-ES"/>
        </w:rPr>
      </w:pPr>
    </w:p>
    <w:sectPr w:rsidR="005965F7" w:rsidSect="00237893">
      <w:headerReference w:type="default" r:id="rId11"/>
      <w:footerReference w:type="even" r:id="rId12"/>
      <w:footerReference w:type="default" r:id="rId13"/>
      <w:pgSz w:w="11906" w:h="16838"/>
      <w:pgMar w:top="1418" w:right="849"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6C0C5D">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6C0C5D"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6C0C5D"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6C0C5D"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6C0C5D"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6C0C5D"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6C0C5D"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470635A"/>
    <w:multiLevelType w:val="hybridMultilevel"/>
    <w:tmpl w:val="8B745A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5955F6E"/>
    <w:multiLevelType w:val="hybridMultilevel"/>
    <w:tmpl w:val="8F16CE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C3A3533"/>
    <w:multiLevelType w:val="hybridMultilevel"/>
    <w:tmpl w:val="3448FD9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EA331E6"/>
    <w:multiLevelType w:val="hybridMultilevel"/>
    <w:tmpl w:val="0BE80F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F670C80"/>
    <w:multiLevelType w:val="hybridMultilevel"/>
    <w:tmpl w:val="7662F45A"/>
    <w:lvl w:ilvl="0" w:tplc="87DC8C10">
      <w:numFmt w:val="bullet"/>
      <w:lvlText w:val="•"/>
      <w:lvlJc w:val="left"/>
      <w:pPr>
        <w:ind w:left="1430" w:hanging="71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10332E9B"/>
    <w:multiLevelType w:val="hybridMultilevel"/>
    <w:tmpl w:val="39640D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2D36E43"/>
    <w:multiLevelType w:val="hybridMultilevel"/>
    <w:tmpl w:val="4260CDA8"/>
    <w:lvl w:ilvl="0" w:tplc="3BB4BBD4">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96D1EAB"/>
    <w:multiLevelType w:val="hybridMultilevel"/>
    <w:tmpl w:val="CCDEEB12"/>
    <w:lvl w:ilvl="0" w:tplc="3EA6D35A">
      <w:numFmt w:val="bullet"/>
      <w:lvlText w:val="-"/>
      <w:lvlJc w:val="left"/>
      <w:pPr>
        <w:ind w:left="720" w:hanging="360"/>
      </w:pPr>
      <w:rPr>
        <w:rFonts w:ascii="Tahoma" w:eastAsia="Calibr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32500A2"/>
    <w:multiLevelType w:val="multilevel"/>
    <w:tmpl w:val="C9FEA5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23827457"/>
    <w:multiLevelType w:val="hybridMultilevel"/>
    <w:tmpl w:val="D15C41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8" w15:restartNumberingAfterBreak="0">
    <w:nsid w:val="2CEF7AB0"/>
    <w:multiLevelType w:val="hybridMultilevel"/>
    <w:tmpl w:val="E9EC9C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D4B5571"/>
    <w:multiLevelType w:val="hybridMultilevel"/>
    <w:tmpl w:val="212634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0B70C59"/>
    <w:multiLevelType w:val="hybridMultilevel"/>
    <w:tmpl w:val="9BBABF04"/>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21" w15:restartNumberingAfterBreak="0">
    <w:nsid w:val="37667C23"/>
    <w:multiLevelType w:val="hybridMultilevel"/>
    <w:tmpl w:val="37844C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3D0D5DEB"/>
    <w:multiLevelType w:val="hybridMultilevel"/>
    <w:tmpl w:val="91CCDE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2A85612"/>
    <w:multiLevelType w:val="hybridMultilevel"/>
    <w:tmpl w:val="71B0FC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2FC7245"/>
    <w:multiLevelType w:val="hybridMultilevel"/>
    <w:tmpl w:val="04BE68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3001E06"/>
    <w:multiLevelType w:val="multilevel"/>
    <w:tmpl w:val="0BBC7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99B13BE"/>
    <w:multiLevelType w:val="hybridMultilevel"/>
    <w:tmpl w:val="371A3C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4D382F97"/>
    <w:multiLevelType w:val="hybridMultilevel"/>
    <w:tmpl w:val="E20684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D933632"/>
    <w:multiLevelType w:val="hybridMultilevel"/>
    <w:tmpl w:val="9A6EF7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E641551"/>
    <w:multiLevelType w:val="hybridMultilevel"/>
    <w:tmpl w:val="06C4FB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09F20BF"/>
    <w:multiLevelType w:val="hybridMultilevel"/>
    <w:tmpl w:val="2C9603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1" w15:restartNumberingAfterBreak="0">
    <w:nsid w:val="52426F21"/>
    <w:multiLevelType w:val="hybridMultilevel"/>
    <w:tmpl w:val="3E803A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2430993"/>
    <w:multiLevelType w:val="multilevel"/>
    <w:tmpl w:val="009CD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5196E89"/>
    <w:multiLevelType w:val="hybridMultilevel"/>
    <w:tmpl w:val="ABF8E7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DA132C0"/>
    <w:multiLevelType w:val="hybridMultilevel"/>
    <w:tmpl w:val="68C49D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FBD2C19"/>
    <w:multiLevelType w:val="hybridMultilevel"/>
    <w:tmpl w:val="DCB6B2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2F94548"/>
    <w:multiLevelType w:val="hybridMultilevel"/>
    <w:tmpl w:val="30FA67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30618D7"/>
    <w:multiLevelType w:val="hybridMultilevel"/>
    <w:tmpl w:val="318076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8" w15:restartNumberingAfterBreak="0">
    <w:nsid w:val="68DB7172"/>
    <w:multiLevelType w:val="hybridMultilevel"/>
    <w:tmpl w:val="F4A864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A840FF9"/>
    <w:multiLevelType w:val="hybridMultilevel"/>
    <w:tmpl w:val="075CD6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1" w15:restartNumberingAfterBreak="0">
    <w:nsid w:val="6AFD34C2"/>
    <w:multiLevelType w:val="hybridMultilevel"/>
    <w:tmpl w:val="77FC78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CD45C6F"/>
    <w:multiLevelType w:val="hybridMultilevel"/>
    <w:tmpl w:val="BA0CE7F6"/>
    <w:lvl w:ilvl="0" w:tplc="0C0A0001">
      <w:start w:val="1"/>
      <w:numFmt w:val="bullet"/>
      <w:lvlText w:val=""/>
      <w:lvlJc w:val="left"/>
      <w:pPr>
        <w:ind w:left="153" w:hanging="360"/>
      </w:pPr>
      <w:rPr>
        <w:rFonts w:ascii="Symbol" w:hAnsi="Symbol"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43" w15:restartNumberingAfterBreak="0">
    <w:nsid w:val="6F431FDE"/>
    <w:multiLevelType w:val="multilevel"/>
    <w:tmpl w:val="72CA2D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F6546C0"/>
    <w:multiLevelType w:val="hybridMultilevel"/>
    <w:tmpl w:val="5824D8EE"/>
    <w:lvl w:ilvl="0" w:tplc="00E82EBC">
      <w:numFmt w:val="bullet"/>
      <w:lvlText w:val="-"/>
      <w:lvlJc w:val="left"/>
      <w:pPr>
        <w:ind w:left="720" w:hanging="360"/>
      </w:pPr>
      <w:rPr>
        <w:rFonts w:ascii="Tahoma" w:eastAsia="Calibr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5" w15:restartNumberingAfterBreak="0">
    <w:nsid w:val="719B07AD"/>
    <w:multiLevelType w:val="hybridMultilevel"/>
    <w:tmpl w:val="F0520D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2C55093"/>
    <w:multiLevelType w:val="hybridMultilevel"/>
    <w:tmpl w:val="7AA817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4BF200B"/>
    <w:multiLevelType w:val="multilevel"/>
    <w:tmpl w:val="09C4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6D35590"/>
    <w:multiLevelType w:val="hybridMultilevel"/>
    <w:tmpl w:val="54BE7C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AA72197"/>
    <w:multiLevelType w:val="hybridMultilevel"/>
    <w:tmpl w:val="BEAC3D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7DBC75DF"/>
    <w:multiLevelType w:val="hybridMultilevel"/>
    <w:tmpl w:val="97144C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40"/>
  </w:num>
  <w:num w:numId="2">
    <w:abstractNumId w:val="6"/>
  </w:num>
  <w:num w:numId="3">
    <w:abstractNumId w:val="2"/>
  </w:num>
  <w:num w:numId="4">
    <w:abstractNumId w:val="1"/>
  </w:num>
  <w:num w:numId="5">
    <w:abstractNumId w:val="0"/>
  </w:num>
  <w:num w:numId="6">
    <w:abstractNumId w:val="27"/>
  </w:num>
  <w:num w:numId="7">
    <w:abstractNumId w:val="50"/>
  </w:num>
  <w:num w:numId="8">
    <w:abstractNumId w:val="11"/>
  </w:num>
  <w:num w:numId="9">
    <w:abstractNumId w:val="35"/>
  </w:num>
  <w:num w:numId="10">
    <w:abstractNumId w:val="48"/>
  </w:num>
  <w:num w:numId="11">
    <w:abstractNumId w:val="15"/>
  </w:num>
  <w:num w:numId="12">
    <w:abstractNumId w:val="32"/>
  </w:num>
  <w:num w:numId="13">
    <w:abstractNumId w:val="28"/>
  </w:num>
  <w:num w:numId="14">
    <w:abstractNumId w:val="36"/>
  </w:num>
  <w:num w:numId="15">
    <w:abstractNumId w:val="37"/>
  </w:num>
  <w:num w:numId="16">
    <w:abstractNumId w:val="17"/>
  </w:num>
  <w:num w:numId="17">
    <w:abstractNumId w:val="8"/>
  </w:num>
  <w:num w:numId="18">
    <w:abstractNumId w:val="42"/>
  </w:num>
  <w:num w:numId="19">
    <w:abstractNumId w:val="9"/>
  </w:num>
  <w:num w:numId="20">
    <w:abstractNumId w:val="30"/>
  </w:num>
  <w:num w:numId="21">
    <w:abstractNumId w:val="12"/>
  </w:num>
  <w:num w:numId="22">
    <w:abstractNumId w:val="16"/>
  </w:num>
  <w:num w:numId="23">
    <w:abstractNumId w:val="43"/>
  </w:num>
  <w:num w:numId="24">
    <w:abstractNumId w:val="19"/>
  </w:num>
  <w:num w:numId="25">
    <w:abstractNumId w:val="13"/>
  </w:num>
  <w:num w:numId="26">
    <w:abstractNumId w:val="25"/>
  </w:num>
  <w:num w:numId="27">
    <w:abstractNumId w:val="29"/>
  </w:num>
  <w:num w:numId="28">
    <w:abstractNumId w:val="46"/>
  </w:num>
  <w:num w:numId="29">
    <w:abstractNumId w:val="38"/>
  </w:num>
  <w:num w:numId="30">
    <w:abstractNumId w:val="24"/>
  </w:num>
  <w:num w:numId="31">
    <w:abstractNumId w:val="26"/>
  </w:num>
  <w:num w:numId="32">
    <w:abstractNumId w:val="31"/>
  </w:num>
  <w:num w:numId="33">
    <w:abstractNumId w:val="20"/>
  </w:num>
  <w:num w:numId="34">
    <w:abstractNumId w:val="51"/>
  </w:num>
  <w:num w:numId="35">
    <w:abstractNumId w:val="34"/>
  </w:num>
  <w:num w:numId="36">
    <w:abstractNumId w:val="49"/>
  </w:num>
  <w:num w:numId="37">
    <w:abstractNumId w:val="22"/>
  </w:num>
  <w:num w:numId="38">
    <w:abstractNumId w:val="39"/>
  </w:num>
  <w:num w:numId="39">
    <w:abstractNumId w:val="23"/>
  </w:num>
  <w:num w:numId="40">
    <w:abstractNumId w:val="41"/>
  </w:num>
  <w:num w:numId="41">
    <w:abstractNumId w:val="47"/>
  </w:num>
  <w:num w:numId="42">
    <w:abstractNumId w:val="44"/>
  </w:num>
  <w:num w:numId="43">
    <w:abstractNumId w:val="7"/>
  </w:num>
  <w:num w:numId="44">
    <w:abstractNumId w:val="33"/>
  </w:num>
  <w:num w:numId="45">
    <w:abstractNumId w:val="14"/>
  </w:num>
  <w:num w:numId="46">
    <w:abstractNumId w:val="18"/>
  </w:num>
  <w:num w:numId="47">
    <w:abstractNumId w:val="45"/>
  </w:num>
  <w:num w:numId="48">
    <w:abstractNumId w:val="21"/>
    <w:lvlOverride w:ilvl="0"/>
    <w:lvlOverride w:ilvl="1"/>
    <w:lvlOverride w:ilvl="2"/>
    <w:lvlOverride w:ilvl="3"/>
    <w:lvlOverride w:ilvl="4"/>
    <w:lvlOverride w:ilvl="5"/>
    <w:lvlOverride w:ilvl="6"/>
    <w:lvlOverride w:ilvl="7"/>
    <w:lvlOverride w:ilvl="8"/>
  </w:num>
  <w:num w:numId="49">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0C5D"/>
    <w:rsid w:val="006C174D"/>
    <w:rsid w:val="006C23DC"/>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54B5"/>
    <w:rsid w:val="009654D2"/>
    <w:rsid w:val="009656FE"/>
    <w:rsid w:val="009669C8"/>
    <w:rsid w:val="00967410"/>
    <w:rsid w:val="0096753B"/>
    <w:rsid w:val="00967C6E"/>
    <w:rsid w:val="009720E6"/>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F0D"/>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7345"/>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lobalcaja.es/es/empresa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eda.es/servicios/convenios-descuento/item/8689-1-globalcaja"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5CD58-DA6C-4299-8862-C72272AF1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529</Words>
  <Characters>3043</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3565</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2021-03-16T11:17:00Z</cp:lastPrinted>
  <dcterms:created xsi:type="dcterms:W3CDTF">2022-10-25T15:16:00Z</dcterms:created>
  <dcterms:modified xsi:type="dcterms:W3CDTF">2022-10-25T15:16:00Z</dcterms:modified>
</cp:coreProperties>
</file>