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52CAB" w:rsidRDefault="00752A56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D74BD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Albacete, </w:t>
      </w:r>
      <w:r w:rsidR="00C5021F" w:rsidRPr="00D74BD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2</w:t>
      </w:r>
      <w:r w:rsidR="00A54F29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2</w:t>
      </w:r>
      <w:r w:rsidR="00C5021F" w:rsidRPr="00D74BD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diciembre</w:t>
      </w:r>
      <w:r w:rsidR="00852CAB" w:rsidRPr="00D74BD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2022</w:t>
      </w:r>
    </w:p>
    <w:p w:rsidR="00A54F29" w:rsidRDefault="00A54F29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A54F29" w:rsidRDefault="00A54F29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A54F29" w:rsidRDefault="00A54F29" w:rsidP="00A54F29">
      <w:pPr>
        <w:jc w:val="center"/>
        <w:textAlignment w:val="baseline"/>
        <w:rPr>
          <w:rFonts w:ascii="Tahoma" w:hAnsi="Tahoma" w:cs="Tahoma"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A54F29" w:rsidRDefault="00A54F29" w:rsidP="00A54F29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A54F29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El presidente de FEDA sigue representando a las empresas de Albacete en la Junta Directiva de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la </w:t>
      </w:r>
      <w:r w:rsidRPr="00A54F29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CEOE</w:t>
      </w:r>
    </w:p>
    <w:p w:rsidR="00A54F29" w:rsidRDefault="00A54F29" w:rsidP="00A54F29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A54F29" w:rsidRDefault="00A54F29" w:rsidP="00A54F29">
      <w:pPr>
        <w:pStyle w:val="Prrafodelista"/>
        <w:numPr>
          <w:ilvl w:val="0"/>
          <w:numId w:val="28"/>
        </w:numPr>
        <w:jc w:val="center"/>
        <w:textAlignment w:val="baseline"/>
        <w:rPr>
          <w:rFonts w:ascii="Tahoma" w:hAnsi="Tahoma" w:cs="Tahoma"/>
          <w:b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bdr w:val="none" w:sz="0" w:space="0" w:color="auto" w:frame="1"/>
        </w:rPr>
        <w:t>En la primera reunión de la nueva etapa de Antonio Garamendi se acordó proponer revalorizar el salario mínimo interprofesional en un 4%</w:t>
      </w:r>
    </w:p>
    <w:p w:rsidR="00A54F29" w:rsidRDefault="00A54F29" w:rsidP="00A54F29">
      <w:pPr>
        <w:jc w:val="center"/>
        <w:textAlignment w:val="baseline"/>
        <w:rPr>
          <w:rFonts w:ascii="Tahoma" w:hAnsi="Tahoma" w:cs="Tahoma"/>
          <w:b/>
          <w:bCs/>
          <w:color w:val="000000"/>
          <w:bdr w:val="none" w:sz="0" w:space="0" w:color="auto" w:frame="1"/>
        </w:rPr>
      </w:pPr>
    </w:p>
    <w:p w:rsidR="00A54F29" w:rsidRDefault="00A54F29" w:rsidP="00A54F29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:rsidR="00A54F29" w:rsidRDefault="00A54F29" w:rsidP="00A54F29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Tras la elección de Antonio Garamendi para seguir cuatro años más al frente de la </w:t>
      </w:r>
      <w:hyperlink r:id="rId8" w:history="1">
        <w:r w:rsidRPr="00C133B4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</w:rPr>
          <w:t>CEOE</w:t>
        </w:r>
      </w:hyperlink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, se ha celebrado ahora la primera reunión de los órganos de gobierno de la patrona, configurando el nuevo equipo de Comité Ejecutivo y de la Junta Directiva. Aquí sigue representando a las empresas de la provincia de Albacete, el presidente de </w:t>
      </w:r>
      <w:hyperlink r:id="rId9" w:history="1">
        <w:r w:rsidRPr="00C133B4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</w:rPr>
          <w:t>FEDA</w:t>
        </w:r>
      </w:hyperlink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, Artemio Pérez Alfaro, resal</w:t>
      </w:r>
      <w:r w:rsidR="00C133B4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t</w:t>
      </w: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ando a su vez la representación de </w:t>
      </w:r>
      <w:hyperlink r:id="rId10" w:history="1">
        <w:r w:rsidRPr="00C133B4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</w:rPr>
          <w:t>CECAM</w:t>
        </w:r>
      </w:hyperlink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 xml:space="preserve"> en el Comité Ejecutivo con la presencia de su presidente, Angel Nicolás.</w:t>
      </w:r>
    </w:p>
    <w:p w:rsidR="00A54F29" w:rsidRDefault="00A54F29" w:rsidP="00A54F29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:rsidR="00A54F29" w:rsidRPr="00A54F29" w:rsidRDefault="00A54F29" w:rsidP="00C133B4">
      <w:pPr>
        <w:textAlignment w:val="baseline"/>
        <w:rPr>
          <w:rFonts w:ascii="Tahoma" w:hAnsi="Tahoma" w:cs="Tahoma"/>
          <w:color w:val="1D1D1B"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  <w:t>La Junta Directiva aprobó todos los nombramientos propuestos desde la presidencia y t</w:t>
      </w:r>
      <w:r w:rsidRPr="00A54F29">
        <w:rPr>
          <w:rFonts w:ascii="Tahoma" w:hAnsi="Tahoma" w:cs="Tahoma"/>
          <w:color w:val="1D1D1B"/>
          <w:sz w:val="22"/>
          <w:szCs w:val="22"/>
        </w:rPr>
        <w:t xml:space="preserve">ras la convocatoria emitida por el Ministerio de Trabajo en las últimas horas a los agentes sociales para abordar la subida del salario mínimo interprofesional (SMI) para 2023, la Junta Directiva de CEOE </w:t>
      </w:r>
      <w:r>
        <w:rPr>
          <w:rFonts w:ascii="Tahoma" w:hAnsi="Tahoma" w:cs="Tahoma"/>
          <w:color w:val="1D1D1B"/>
          <w:sz w:val="22"/>
          <w:szCs w:val="22"/>
        </w:rPr>
        <w:t xml:space="preserve">acordó </w:t>
      </w:r>
      <w:r w:rsidRPr="00A54F29">
        <w:rPr>
          <w:rFonts w:ascii="Tahoma" w:hAnsi="Tahoma" w:cs="Tahoma"/>
          <w:color w:val="1D1D1B"/>
          <w:sz w:val="22"/>
          <w:szCs w:val="22"/>
        </w:rPr>
        <w:t>remitir una posición de las organizaciones empresariales acorde con la moderación salarial que se necesita para favorecer el crecimiento económico y la creación de empleo. </w:t>
      </w:r>
    </w:p>
    <w:p w:rsidR="00A54F29" w:rsidRPr="00A54F29" w:rsidRDefault="00A54F29" w:rsidP="00C133B4">
      <w:pPr>
        <w:textAlignment w:val="baseline"/>
        <w:rPr>
          <w:rFonts w:ascii="Tahoma" w:hAnsi="Tahoma" w:cs="Tahoma"/>
          <w:color w:val="1D1D1B"/>
          <w:sz w:val="22"/>
          <w:szCs w:val="22"/>
        </w:rPr>
      </w:pPr>
    </w:p>
    <w:p w:rsidR="00C133B4" w:rsidRDefault="00A54F29" w:rsidP="00C133B4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En primer lugar, las organizaciones empresariales so</w:t>
      </w:r>
      <w:r>
        <w:rPr>
          <w:rFonts w:ascii="Tahoma" w:hAnsi="Tahoma" w:cs="Tahoma"/>
          <w:color w:val="1D1D1B"/>
          <w:sz w:val="22"/>
          <w:szCs w:val="22"/>
        </w:rPr>
        <w:t xml:space="preserve">n </w:t>
      </w:r>
      <w:r w:rsidRPr="00A54F29">
        <w:rPr>
          <w:rFonts w:ascii="Tahoma" w:hAnsi="Tahoma" w:cs="Tahoma"/>
          <w:color w:val="1D1D1B"/>
          <w:sz w:val="22"/>
          <w:szCs w:val="22"/>
        </w:rPr>
        <w:t>conscientes del impacto de la inflación en las rentas más b</w:t>
      </w:r>
      <w:r>
        <w:rPr>
          <w:rFonts w:ascii="Tahoma" w:hAnsi="Tahoma" w:cs="Tahoma"/>
          <w:color w:val="1D1D1B"/>
          <w:sz w:val="22"/>
          <w:szCs w:val="22"/>
        </w:rPr>
        <w:t>ajas, al tiempo que consideran</w:t>
      </w:r>
      <w:r w:rsidRPr="00A54F29">
        <w:rPr>
          <w:rFonts w:ascii="Tahoma" w:hAnsi="Tahoma" w:cs="Tahoma"/>
          <w:color w:val="1D1D1B"/>
          <w:sz w:val="22"/>
          <w:szCs w:val="22"/>
        </w:rPr>
        <w:t xml:space="preserve"> que la prioridad en 2023 es el mantenimiento del empleo del colectivo afectado por el SMI, para lo cual es necesario llevar a cabo un incremento acompasado con este contexto.</w:t>
      </w:r>
    </w:p>
    <w:p w:rsidR="00A54F29" w:rsidRPr="00A54F29" w:rsidRDefault="00A54F29" w:rsidP="00C133B4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Asimismo, esta posición tiene en cuenta la valoración de los parámetros que determina el artículo 27 del Estatuto de los Trabajadores para fijar este incremento del SMI: la inflación, la productividad media alcanzada, el incremento de la participación de las rentas del trabajo en la renta nacional y la coyuntura económica general.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En este sentido, cabe recordar que, previsiblemente, la inflación se mantendrá por encima del objetivo del 2% durante el próximo año, algo que penaliza también a las empresas por el lado de los costes y se añade al impacto de las subidas de impuestos y cotizaciones sociales, entre otras cargas. Por otro lado, no se puede negar la mayor incidencia del SMI en las pymes.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 xml:space="preserve">Esta evolución de los precios coincidirá con crecimientos del PIB en el entorno del 1% durante el próximo año, con una economía española que todavía no ha recuperado los niveles de PIB </w:t>
      </w:r>
      <w:r w:rsidR="00C133B4" w:rsidRPr="00A54F29">
        <w:rPr>
          <w:rFonts w:ascii="Tahoma" w:hAnsi="Tahoma" w:cs="Tahoma"/>
          <w:color w:val="1D1D1B"/>
          <w:sz w:val="22"/>
          <w:szCs w:val="22"/>
        </w:rPr>
        <w:t>pre pandemia</w:t>
      </w:r>
      <w:r w:rsidRPr="00A54F29">
        <w:rPr>
          <w:rFonts w:ascii="Tahoma" w:hAnsi="Tahoma" w:cs="Tahoma"/>
          <w:color w:val="1D1D1B"/>
          <w:sz w:val="22"/>
          <w:szCs w:val="22"/>
        </w:rPr>
        <w:t>.</w:t>
      </w:r>
    </w:p>
    <w:p w:rsidR="00C133B4" w:rsidRDefault="00C133B4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</w:p>
    <w:p w:rsidR="00C133B4" w:rsidRDefault="00C133B4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</w:p>
    <w:p w:rsidR="00C133B4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En cuanto a la productividad, si bien en 2022 está aumentando, las caídas acumuladas en los últimos años dan lugar a que los niveles de productividad por ocupado en el tercer trimestre del año estén un 4,9% por debajo de los niveles previos a la pandemia.</w:t>
      </w:r>
      <w:r w:rsidR="00C133B4">
        <w:rPr>
          <w:rFonts w:ascii="Tahoma" w:hAnsi="Tahoma" w:cs="Tahoma"/>
          <w:color w:val="1D1D1B"/>
          <w:sz w:val="22"/>
          <w:szCs w:val="22"/>
        </w:rPr>
        <w:t xml:space="preserve"> 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bookmarkStart w:id="0" w:name="_GoBack"/>
      <w:bookmarkEnd w:id="0"/>
      <w:r w:rsidRPr="00A54F29">
        <w:rPr>
          <w:rFonts w:ascii="Tahoma" w:hAnsi="Tahoma" w:cs="Tahoma"/>
          <w:color w:val="1D1D1B"/>
          <w:sz w:val="22"/>
          <w:szCs w:val="22"/>
        </w:rPr>
        <w:t>Por su parte, la participación de las rentas del trabajo representa ya el 47,5% de la renta nacional en 2022, superando en 1 punto la previa a la pandemia.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También cabe recordar que el salario mínimo incide especialmente en las pequeñas y medianas empresas, que conforman la gran mayoría del tejido productivo, puesto que presentan menores niveles de productividad y, por tanto, salarios más bajos.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Con todas estas variables sobre la mesa, a la vista de la convocatoria del Gobierno con relación al SMI y del informe emitido por el grupo de expertos, la posición de las organizaciones empresariales es: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-    Un incremento del SMI del 4%, hasta una cuantía de 1.040 euros brutos al mes en 14 pagas, por encima del incremento salarial medio pactado en los convenios firmados en 2022 (3,03%) y de la aplicada a los funcionarios (3,5%). 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-    Además, esta subida estaría supeditada al cumplimiento de dos de las peticiones que reiteradamente han planteado CEOE y CEPYME al Gobierno: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1.    Establecer un régimen de deducciones aplicables al sector agrario, consistente en una reducción del 20% sobre la cuota empresarial por contingencias comunes, que se sumaría a los incentivos vigentes.</w:t>
      </w:r>
    </w:p>
    <w:p w:rsidR="00A54F29" w:rsidRPr="00A54F29" w:rsidRDefault="00A54F29" w:rsidP="00A54F29">
      <w:pPr>
        <w:pStyle w:val="NormalWeb"/>
        <w:spacing w:before="0" w:beforeAutospacing="0" w:after="375" w:afterAutospacing="0"/>
        <w:jc w:val="both"/>
        <w:rPr>
          <w:rFonts w:ascii="Tahoma" w:hAnsi="Tahoma" w:cs="Tahoma"/>
          <w:color w:val="1D1D1B"/>
          <w:sz w:val="22"/>
          <w:szCs w:val="22"/>
        </w:rPr>
      </w:pPr>
      <w:r w:rsidRPr="00A54F29">
        <w:rPr>
          <w:rFonts w:ascii="Tahoma" w:hAnsi="Tahoma" w:cs="Tahoma"/>
          <w:color w:val="1D1D1B"/>
          <w:sz w:val="22"/>
          <w:szCs w:val="22"/>
        </w:rPr>
        <w:t>2.    Modificar la normativa de revisión de precios en los procesos de contratación derivados de la Ley 9/2017, de 8 de noviembre, de contratos del sector público, para repercutir el incremento del SMI en los contratos en ejecución.</w:t>
      </w:r>
    </w:p>
    <w:p w:rsidR="00A54F29" w:rsidRPr="00A54F29" w:rsidRDefault="00A54F29" w:rsidP="00A54F29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</w:rPr>
      </w:pPr>
    </w:p>
    <w:p w:rsidR="00634AF4" w:rsidRDefault="00634AF4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634AF4" w:rsidRPr="00D74BD0" w:rsidRDefault="00634AF4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sectPr w:rsidR="00634AF4" w:rsidRPr="00D74BD0" w:rsidSect="00237893">
      <w:headerReference w:type="default" r:id="rId11"/>
      <w:footerReference w:type="even" r:id="rId12"/>
      <w:footerReference w:type="default" r:id="rId13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93B9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D93B9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11DB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93B9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11DB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93B9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11DB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654233"/>
    <w:multiLevelType w:val="hybridMultilevel"/>
    <w:tmpl w:val="43A8FF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391B58"/>
    <w:multiLevelType w:val="hybridMultilevel"/>
    <w:tmpl w:val="6338B8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727366"/>
    <w:multiLevelType w:val="hybridMultilevel"/>
    <w:tmpl w:val="C5B44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9A64D5"/>
    <w:multiLevelType w:val="hybridMultilevel"/>
    <w:tmpl w:val="0C046070"/>
    <w:lvl w:ilvl="0" w:tplc="0C0A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D4BE9"/>
    <w:multiLevelType w:val="hybridMultilevel"/>
    <w:tmpl w:val="9AD42658"/>
    <w:lvl w:ilvl="0" w:tplc="0C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5694194"/>
    <w:multiLevelType w:val="hybridMultilevel"/>
    <w:tmpl w:val="0D26C8A0"/>
    <w:lvl w:ilvl="0" w:tplc="4370B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C0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EC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3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A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AE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6A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86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AE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5942B42"/>
    <w:multiLevelType w:val="hybridMultilevel"/>
    <w:tmpl w:val="5FD8513C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6DD268A5"/>
    <w:multiLevelType w:val="hybridMultilevel"/>
    <w:tmpl w:val="532A0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F972D4"/>
    <w:multiLevelType w:val="hybridMultilevel"/>
    <w:tmpl w:val="E1C28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6"/>
  </w:num>
  <w:num w:numId="7">
    <w:abstractNumId w:val="14"/>
  </w:num>
  <w:num w:numId="8">
    <w:abstractNumId w:val="17"/>
  </w:num>
  <w:num w:numId="9">
    <w:abstractNumId w:val="26"/>
  </w:num>
  <w:num w:numId="10">
    <w:abstractNumId w:val="9"/>
  </w:num>
  <w:num w:numId="11">
    <w:abstractNumId w:val="19"/>
  </w:num>
  <w:num w:numId="12">
    <w:abstractNumId w:val="23"/>
  </w:num>
  <w:num w:numId="13">
    <w:abstractNumId w:val="27"/>
  </w:num>
  <w:num w:numId="14">
    <w:abstractNumId w:val="11"/>
  </w:num>
  <w:num w:numId="15">
    <w:abstractNumId w:val="15"/>
  </w:num>
  <w:num w:numId="16">
    <w:abstractNumId w:val="13"/>
  </w:num>
  <w:num w:numId="17">
    <w:abstractNumId w:val="30"/>
  </w:num>
  <w:num w:numId="18">
    <w:abstractNumId w:val="10"/>
  </w:num>
  <w:num w:numId="19">
    <w:abstractNumId w:val="28"/>
  </w:num>
  <w:num w:numId="20">
    <w:abstractNumId w:val="29"/>
  </w:num>
  <w:num w:numId="21">
    <w:abstractNumId w:val="12"/>
  </w:num>
  <w:num w:numId="22">
    <w:abstractNumId w:val="25"/>
  </w:num>
  <w:num w:numId="23">
    <w:abstractNumId w:val="18"/>
  </w:num>
  <w:num w:numId="24">
    <w:abstractNumId w:val="20"/>
  </w:num>
  <w:num w:numId="25">
    <w:abstractNumId w:val="7"/>
  </w:num>
  <w:num w:numId="26">
    <w:abstractNumId w:val="22"/>
  </w:num>
  <w:num w:numId="27">
    <w:abstractNumId w:val="21"/>
  </w:num>
  <w:num w:numId="28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9F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987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oe.es/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ecam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53D63-0EEC-4BDE-97F5-34B3DB5DA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4237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2022-12-22T09:45:00Z</dcterms:created>
  <dcterms:modified xsi:type="dcterms:W3CDTF">2022-12-22T09:45:00Z</dcterms:modified>
</cp:coreProperties>
</file>