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48FC5F" w14:textId="77777777" w:rsidR="0093134E" w:rsidRDefault="0093134E" w:rsidP="0093134E">
      <w:pPr>
        <w:spacing w:line="240" w:lineRule="auto"/>
        <w:jc w:val="right"/>
        <w:rPr>
          <w:rFonts w:ascii="Tahoma" w:hAnsi="Tahoma" w:cs="Tahoma"/>
          <w:bCs/>
        </w:rPr>
      </w:pPr>
    </w:p>
    <w:p w14:paraId="1206A1E8" w14:textId="339A47AD" w:rsidR="0093134E" w:rsidRDefault="00480BB0" w:rsidP="0093134E">
      <w:pPr>
        <w:spacing w:line="240" w:lineRule="auto"/>
        <w:jc w:val="right"/>
        <w:rPr>
          <w:rFonts w:ascii="Tahoma" w:hAnsi="Tahoma" w:cs="Tahoma"/>
          <w:bCs/>
        </w:rPr>
      </w:pPr>
      <w:r w:rsidRPr="0046471C">
        <w:rPr>
          <w:rFonts w:ascii="Tahoma" w:hAnsi="Tahoma" w:cs="Tahoma"/>
          <w:bCs/>
        </w:rPr>
        <w:t xml:space="preserve">Albacete, </w:t>
      </w:r>
      <w:r w:rsidR="0046471C">
        <w:rPr>
          <w:rFonts w:ascii="Tahoma" w:hAnsi="Tahoma" w:cs="Tahoma"/>
          <w:bCs/>
        </w:rPr>
        <w:t>1</w:t>
      </w:r>
      <w:r w:rsidR="00E92CA2">
        <w:rPr>
          <w:rFonts w:ascii="Tahoma" w:hAnsi="Tahoma" w:cs="Tahoma"/>
          <w:bCs/>
        </w:rPr>
        <w:t>4</w:t>
      </w:r>
      <w:r w:rsidR="0093134E">
        <w:rPr>
          <w:rFonts w:ascii="Tahoma" w:hAnsi="Tahoma" w:cs="Tahoma"/>
          <w:bCs/>
        </w:rPr>
        <w:t xml:space="preserve"> de febrero de 202</w:t>
      </w:r>
      <w:r w:rsidR="00E92CA2">
        <w:rPr>
          <w:rFonts w:ascii="Tahoma" w:hAnsi="Tahoma" w:cs="Tahoma"/>
          <w:bCs/>
        </w:rPr>
        <w:t>3</w:t>
      </w:r>
    </w:p>
    <w:p w14:paraId="237DE925" w14:textId="77777777" w:rsidR="003B41E3" w:rsidRPr="0093134E" w:rsidRDefault="003B41E3" w:rsidP="0093134E">
      <w:pPr>
        <w:spacing w:line="240" w:lineRule="auto"/>
        <w:jc w:val="right"/>
      </w:pPr>
    </w:p>
    <w:p w14:paraId="3065FC32" w14:textId="76BDB215" w:rsidR="00805F4A" w:rsidRDefault="0046471C" w:rsidP="0046471C">
      <w:pPr>
        <w:spacing w:line="240" w:lineRule="auto"/>
        <w:jc w:val="center"/>
        <w:rPr>
          <w:rFonts w:ascii="Tahoma" w:hAnsi="Tahoma" w:cs="Tahoma"/>
          <w:b/>
          <w:bCs/>
          <w:sz w:val="32"/>
          <w:szCs w:val="32"/>
        </w:rPr>
      </w:pPr>
      <w:r w:rsidRPr="00805F4A">
        <w:rPr>
          <w:rFonts w:ascii="Tahoma" w:hAnsi="Tahoma" w:cs="Tahoma"/>
          <w:b/>
          <w:bCs/>
          <w:sz w:val="32"/>
          <w:szCs w:val="32"/>
        </w:rPr>
        <w:t xml:space="preserve">El </w:t>
      </w:r>
      <w:r w:rsidR="00E92CA2">
        <w:rPr>
          <w:rFonts w:ascii="Tahoma" w:hAnsi="Tahoma" w:cs="Tahoma"/>
          <w:b/>
          <w:bCs/>
          <w:sz w:val="32"/>
          <w:szCs w:val="32"/>
        </w:rPr>
        <w:t>tercer</w:t>
      </w:r>
      <w:r w:rsidRPr="00805F4A">
        <w:rPr>
          <w:rFonts w:ascii="Tahoma" w:hAnsi="Tahoma" w:cs="Tahoma"/>
          <w:b/>
          <w:bCs/>
          <w:sz w:val="32"/>
          <w:szCs w:val="32"/>
        </w:rPr>
        <w:t xml:space="preserve"> Informe del Observatorio Provincial de Igualdad en las Relaciones Laborales</w:t>
      </w:r>
      <w:r w:rsidR="00DB63F2" w:rsidRPr="00805F4A">
        <w:rPr>
          <w:rFonts w:ascii="Tahoma" w:hAnsi="Tahoma" w:cs="Tahoma"/>
          <w:b/>
          <w:bCs/>
          <w:sz w:val="32"/>
          <w:szCs w:val="32"/>
        </w:rPr>
        <w:t xml:space="preserve"> </w:t>
      </w:r>
      <w:r w:rsidR="006525A1">
        <w:rPr>
          <w:rFonts w:ascii="Tahoma" w:hAnsi="Tahoma" w:cs="Tahoma"/>
          <w:b/>
          <w:bCs/>
          <w:sz w:val="32"/>
          <w:szCs w:val="32"/>
        </w:rPr>
        <w:t>destaca una importante evolución en la implementación de planes de igualdad</w:t>
      </w:r>
    </w:p>
    <w:p w14:paraId="5388D624" w14:textId="77777777" w:rsidR="003B41E3" w:rsidRPr="00805F4A" w:rsidRDefault="003B41E3" w:rsidP="0046471C">
      <w:pPr>
        <w:spacing w:line="240" w:lineRule="auto"/>
        <w:jc w:val="center"/>
        <w:rPr>
          <w:rFonts w:ascii="Tahoma" w:hAnsi="Tahoma" w:cs="Tahoma"/>
          <w:b/>
          <w:bCs/>
          <w:sz w:val="32"/>
          <w:szCs w:val="32"/>
        </w:rPr>
      </w:pPr>
    </w:p>
    <w:p w14:paraId="438C03F6" w14:textId="0BEBFE7E" w:rsidR="0046471C" w:rsidRDefault="00805F4A" w:rsidP="00DE5423">
      <w:pPr>
        <w:pStyle w:val="Prrafodelista"/>
        <w:numPr>
          <w:ilvl w:val="0"/>
          <w:numId w:val="1"/>
        </w:numPr>
        <w:spacing w:line="240" w:lineRule="auto"/>
        <w:jc w:val="center"/>
        <w:rPr>
          <w:rFonts w:ascii="Tahoma" w:hAnsi="Tahoma" w:cs="Tahoma"/>
          <w:b/>
          <w:bCs/>
        </w:rPr>
      </w:pPr>
      <w:r w:rsidRPr="003B41E3">
        <w:rPr>
          <w:rFonts w:ascii="Tahoma" w:hAnsi="Tahoma" w:cs="Tahoma"/>
          <w:b/>
          <w:bCs/>
        </w:rPr>
        <w:t xml:space="preserve">Resalta </w:t>
      </w:r>
      <w:r w:rsidR="006525A1">
        <w:rPr>
          <w:rFonts w:ascii="Tahoma" w:hAnsi="Tahoma" w:cs="Tahoma"/>
          <w:b/>
          <w:bCs/>
        </w:rPr>
        <w:t xml:space="preserve">que se han duplicado los planes de igualdad respecto a 2020 y 2021. Actualmente, 4 de cada 10 empresas </w:t>
      </w:r>
      <w:r w:rsidR="004F5A11">
        <w:rPr>
          <w:rFonts w:ascii="Tahoma" w:hAnsi="Tahoma" w:cs="Tahoma"/>
          <w:b/>
          <w:bCs/>
        </w:rPr>
        <w:t>ha acordado un plan de igualdad</w:t>
      </w:r>
    </w:p>
    <w:p w14:paraId="26674F1B" w14:textId="77777777" w:rsidR="00377E46" w:rsidRDefault="00DE5423" w:rsidP="00553EB5">
      <w:pPr>
        <w:pStyle w:val="Prrafodelista"/>
        <w:numPr>
          <w:ilvl w:val="0"/>
          <w:numId w:val="1"/>
        </w:numPr>
        <w:spacing w:line="240" w:lineRule="auto"/>
        <w:jc w:val="center"/>
        <w:rPr>
          <w:rFonts w:ascii="Tahoma" w:hAnsi="Tahoma" w:cs="Tahoma"/>
          <w:b/>
          <w:bCs/>
        </w:rPr>
      </w:pPr>
      <w:r w:rsidRPr="00377E46">
        <w:rPr>
          <w:rFonts w:ascii="Tahoma" w:hAnsi="Tahoma" w:cs="Tahoma"/>
          <w:b/>
          <w:bCs/>
        </w:rPr>
        <w:t>En este último año</w:t>
      </w:r>
      <w:r w:rsidR="004F5A11" w:rsidRPr="00377E46">
        <w:rPr>
          <w:rFonts w:ascii="Tahoma" w:hAnsi="Tahoma" w:cs="Tahoma"/>
          <w:b/>
          <w:bCs/>
        </w:rPr>
        <w:t>,</w:t>
      </w:r>
      <w:r w:rsidRPr="00377E46">
        <w:rPr>
          <w:rFonts w:ascii="Tahoma" w:hAnsi="Tahoma" w:cs="Tahoma"/>
          <w:b/>
          <w:bCs/>
        </w:rPr>
        <w:t xml:space="preserve"> el 92% de las empresas obligadas afirma</w:t>
      </w:r>
      <w:r w:rsidR="00666473" w:rsidRPr="00377E46">
        <w:rPr>
          <w:rFonts w:ascii="Tahoma" w:hAnsi="Tahoma" w:cs="Tahoma"/>
          <w:b/>
          <w:bCs/>
        </w:rPr>
        <w:t>n</w:t>
      </w:r>
      <w:r w:rsidR="004F5A11" w:rsidRPr="00377E46">
        <w:rPr>
          <w:rFonts w:ascii="Tahoma" w:hAnsi="Tahoma" w:cs="Tahoma"/>
          <w:b/>
          <w:bCs/>
        </w:rPr>
        <w:t xml:space="preserve"> contar con un plan de igualdad</w:t>
      </w:r>
    </w:p>
    <w:p w14:paraId="35373753" w14:textId="0547968D" w:rsidR="003B41E3" w:rsidRPr="00377E46" w:rsidRDefault="00377E46" w:rsidP="00553EB5">
      <w:pPr>
        <w:pStyle w:val="Prrafodelista"/>
        <w:numPr>
          <w:ilvl w:val="0"/>
          <w:numId w:val="1"/>
        </w:numPr>
        <w:spacing w:line="240" w:lineRule="auto"/>
        <w:jc w:val="center"/>
        <w:rPr>
          <w:rFonts w:ascii="Tahoma" w:hAnsi="Tahoma" w:cs="Tahoma"/>
          <w:b/>
          <w:bCs/>
        </w:rPr>
      </w:pPr>
      <w:r w:rsidRPr="00377E46">
        <w:rPr>
          <w:rFonts w:ascii="Tahoma" w:hAnsi="Tahoma" w:cs="Tahoma"/>
          <w:b/>
          <w:bCs/>
          <w:color w:val="222222"/>
          <w:shd w:val="clear" w:color="auto" w:fill="FFFFFF"/>
        </w:rPr>
        <w:t>En 2022 un 38% de las empresas participantes han implantado medidas para fomentar el uso de un lenguaje, publicidad y comunicación inclusiva y/o no sexista, un 12% más que en 2021</w:t>
      </w:r>
    </w:p>
    <w:p w14:paraId="22524C1D" w14:textId="73EEBE97" w:rsidR="00FF0402" w:rsidRDefault="00480BB0">
      <w:pPr>
        <w:pStyle w:val="Textoindependiente"/>
        <w:spacing w:after="0" w:line="240" w:lineRule="auto"/>
        <w:jc w:val="both"/>
        <w:rPr>
          <w:rFonts w:ascii="Tahoma" w:hAnsi="Tahoma" w:cs="Tahoma"/>
          <w:sz w:val="22"/>
          <w:szCs w:val="22"/>
        </w:rPr>
      </w:pPr>
      <w:r w:rsidRPr="0093134E">
        <w:rPr>
          <w:rFonts w:ascii="Tahoma" w:hAnsi="Tahoma" w:cs="Tahoma"/>
          <w:color w:val="192225"/>
          <w:sz w:val="22"/>
          <w:szCs w:val="22"/>
        </w:rPr>
        <w:t xml:space="preserve">El </w:t>
      </w:r>
      <w:hyperlink r:id="rId7" w:history="1">
        <w:r w:rsidRPr="0093134E">
          <w:rPr>
            <w:rStyle w:val="Hipervnculo"/>
            <w:rFonts w:ascii="Tahoma" w:hAnsi="Tahoma" w:cs="Tahoma"/>
            <w:sz w:val="22"/>
            <w:szCs w:val="22"/>
          </w:rPr>
          <w:t>Observatorio Provincial de Igualdad en las Relaciones Laborales</w:t>
        </w:r>
      </w:hyperlink>
      <w:r w:rsidRPr="0093134E">
        <w:rPr>
          <w:rFonts w:ascii="Tahoma" w:hAnsi="Tahoma" w:cs="Tahoma"/>
          <w:color w:val="192225"/>
          <w:sz w:val="22"/>
          <w:szCs w:val="22"/>
        </w:rPr>
        <w:t xml:space="preserve">, promovido desde los agentes sociales </w:t>
      </w:r>
      <w:hyperlink r:id="rId8" w:history="1">
        <w:r w:rsidRPr="0093134E">
          <w:rPr>
            <w:rStyle w:val="Hipervnculo"/>
            <w:rFonts w:ascii="Tahoma" w:hAnsi="Tahoma" w:cs="Tahoma"/>
            <w:sz w:val="22"/>
            <w:szCs w:val="22"/>
          </w:rPr>
          <w:t>CCOO</w:t>
        </w:r>
      </w:hyperlink>
      <w:r w:rsidRPr="0093134E">
        <w:rPr>
          <w:rFonts w:ascii="Tahoma" w:hAnsi="Tahoma" w:cs="Tahoma"/>
          <w:color w:val="192225"/>
          <w:sz w:val="22"/>
          <w:szCs w:val="22"/>
        </w:rPr>
        <w:t xml:space="preserve">, </w:t>
      </w:r>
      <w:hyperlink r:id="rId9" w:history="1">
        <w:r w:rsidRPr="0093134E">
          <w:rPr>
            <w:rStyle w:val="Hipervnculo"/>
            <w:rFonts w:ascii="Tahoma" w:hAnsi="Tahoma" w:cs="Tahoma"/>
            <w:sz w:val="22"/>
            <w:szCs w:val="22"/>
          </w:rPr>
          <w:t>UGT</w:t>
        </w:r>
      </w:hyperlink>
      <w:r w:rsidRPr="0093134E">
        <w:rPr>
          <w:rFonts w:ascii="Tahoma" w:hAnsi="Tahoma" w:cs="Tahoma"/>
          <w:color w:val="192225"/>
          <w:sz w:val="22"/>
          <w:szCs w:val="22"/>
        </w:rPr>
        <w:t xml:space="preserve"> y </w:t>
      </w:r>
      <w:hyperlink r:id="rId10" w:history="1">
        <w:r w:rsidRPr="0093134E">
          <w:rPr>
            <w:rStyle w:val="Hipervnculo"/>
            <w:rFonts w:ascii="Tahoma" w:hAnsi="Tahoma" w:cs="Tahoma"/>
            <w:sz w:val="22"/>
            <w:szCs w:val="22"/>
          </w:rPr>
          <w:t>FEDA</w:t>
        </w:r>
      </w:hyperlink>
      <w:r w:rsidRPr="0093134E">
        <w:rPr>
          <w:rFonts w:ascii="Tahoma" w:hAnsi="Tahoma" w:cs="Tahoma"/>
          <w:color w:val="192225"/>
          <w:sz w:val="22"/>
          <w:szCs w:val="22"/>
        </w:rPr>
        <w:t xml:space="preserve">, </w:t>
      </w:r>
      <w:r w:rsidRPr="004F5A11">
        <w:rPr>
          <w:rFonts w:ascii="Tahoma" w:hAnsi="Tahoma" w:cs="Tahoma"/>
          <w:sz w:val="22"/>
          <w:szCs w:val="22"/>
        </w:rPr>
        <w:t xml:space="preserve">y con el apoyo institucional de la </w:t>
      </w:r>
      <w:hyperlink r:id="rId11" w:history="1">
        <w:r w:rsidRPr="0093134E">
          <w:rPr>
            <w:rStyle w:val="Hipervnculo"/>
            <w:rFonts w:ascii="Tahoma" w:hAnsi="Tahoma" w:cs="Tahoma"/>
            <w:sz w:val="22"/>
            <w:szCs w:val="22"/>
          </w:rPr>
          <w:t>Junta de Comunidades de Castilla-La Mancha</w:t>
        </w:r>
      </w:hyperlink>
      <w:r w:rsidRPr="0093134E">
        <w:rPr>
          <w:rFonts w:ascii="Tahoma" w:hAnsi="Tahoma" w:cs="Tahoma"/>
          <w:color w:val="192225"/>
          <w:sz w:val="22"/>
          <w:szCs w:val="22"/>
        </w:rPr>
        <w:t xml:space="preserve">, </w:t>
      </w:r>
      <w:hyperlink r:id="rId12" w:history="1">
        <w:r w:rsidRPr="0093134E">
          <w:rPr>
            <w:rStyle w:val="Hipervnculo"/>
            <w:rFonts w:ascii="Tahoma" w:hAnsi="Tahoma" w:cs="Tahoma"/>
            <w:sz w:val="22"/>
            <w:szCs w:val="22"/>
          </w:rPr>
          <w:t>Diputación Provincial</w:t>
        </w:r>
      </w:hyperlink>
      <w:r w:rsidRPr="0093134E">
        <w:rPr>
          <w:rFonts w:ascii="Tahoma" w:hAnsi="Tahoma" w:cs="Tahoma"/>
          <w:color w:val="192225"/>
          <w:sz w:val="22"/>
          <w:szCs w:val="22"/>
        </w:rPr>
        <w:t xml:space="preserve"> y </w:t>
      </w:r>
      <w:hyperlink r:id="rId13" w:history="1">
        <w:r w:rsidRPr="0093134E">
          <w:rPr>
            <w:rStyle w:val="Hipervnculo"/>
            <w:rFonts w:ascii="Tahoma" w:hAnsi="Tahoma" w:cs="Tahoma"/>
            <w:sz w:val="22"/>
            <w:szCs w:val="22"/>
          </w:rPr>
          <w:t>del Ayuntamiento de Albacete</w:t>
        </w:r>
      </w:hyperlink>
      <w:r w:rsidRPr="0093134E">
        <w:rPr>
          <w:rFonts w:ascii="Tahoma" w:hAnsi="Tahoma" w:cs="Tahoma"/>
          <w:color w:val="192225"/>
          <w:sz w:val="22"/>
          <w:szCs w:val="22"/>
        </w:rPr>
        <w:t xml:space="preserve">, </w:t>
      </w:r>
      <w:r w:rsidR="00886B62" w:rsidRPr="0093134E">
        <w:rPr>
          <w:rFonts w:ascii="Tahoma" w:hAnsi="Tahoma" w:cs="Tahoma"/>
          <w:sz w:val="22"/>
          <w:szCs w:val="22"/>
        </w:rPr>
        <w:t>presenta el</w:t>
      </w:r>
      <w:r w:rsidR="00E80231">
        <w:rPr>
          <w:rFonts w:ascii="Tahoma" w:hAnsi="Tahoma" w:cs="Tahoma"/>
          <w:sz w:val="22"/>
          <w:szCs w:val="22"/>
        </w:rPr>
        <w:t xml:space="preserve"> tercer</w:t>
      </w:r>
      <w:r w:rsidR="00886B62" w:rsidRPr="0093134E">
        <w:rPr>
          <w:rFonts w:ascii="Tahoma" w:hAnsi="Tahoma" w:cs="Tahoma"/>
          <w:sz w:val="22"/>
          <w:szCs w:val="22"/>
        </w:rPr>
        <w:t xml:space="preserve"> informe anual, un diagnóstico con el objetivo de estudiar la implementación de políticas de Igualdad</w:t>
      </w:r>
      <w:r w:rsidR="00210188" w:rsidRPr="0093134E">
        <w:rPr>
          <w:rFonts w:ascii="Tahoma" w:hAnsi="Tahoma" w:cs="Tahoma"/>
          <w:sz w:val="22"/>
          <w:szCs w:val="22"/>
        </w:rPr>
        <w:t xml:space="preserve"> de trato y oportunidades</w:t>
      </w:r>
      <w:r w:rsidR="00886B62" w:rsidRPr="0093134E">
        <w:rPr>
          <w:rFonts w:ascii="Tahoma" w:hAnsi="Tahoma" w:cs="Tahoma"/>
          <w:sz w:val="22"/>
          <w:szCs w:val="22"/>
        </w:rPr>
        <w:t xml:space="preserve"> en la provincia de Albacete</w:t>
      </w:r>
      <w:r w:rsidRPr="0093134E">
        <w:rPr>
          <w:rFonts w:ascii="Tahoma" w:hAnsi="Tahoma" w:cs="Tahoma"/>
          <w:sz w:val="22"/>
          <w:szCs w:val="22"/>
        </w:rPr>
        <w:t>.</w:t>
      </w:r>
    </w:p>
    <w:p w14:paraId="6B872F73" w14:textId="77777777" w:rsidR="00E80231" w:rsidRDefault="00E80231" w:rsidP="00E80231">
      <w:pPr>
        <w:pStyle w:val="Textoindependiente"/>
        <w:spacing w:after="0" w:line="240" w:lineRule="auto"/>
        <w:jc w:val="both"/>
        <w:rPr>
          <w:rFonts w:ascii="Tahoma" w:hAnsi="Tahoma" w:cs="Tahoma"/>
          <w:sz w:val="22"/>
          <w:szCs w:val="22"/>
        </w:rPr>
      </w:pPr>
    </w:p>
    <w:p w14:paraId="48A5D933" w14:textId="36E7347B" w:rsidR="00E80231" w:rsidRDefault="00E80231" w:rsidP="00C55356">
      <w:pPr>
        <w:pStyle w:val="Textoindependiente"/>
        <w:spacing w:after="0" w:line="240" w:lineRule="auto"/>
        <w:jc w:val="both"/>
        <w:rPr>
          <w:rFonts w:ascii="Tahoma" w:hAnsi="Tahoma" w:cs="Tahoma"/>
          <w:sz w:val="22"/>
          <w:szCs w:val="22"/>
        </w:rPr>
      </w:pPr>
      <w:r>
        <w:rPr>
          <w:rFonts w:ascii="Tahoma" w:hAnsi="Tahoma" w:cs="Tahoma"/>
          <w:sz w:val="22"/>
          <w:szCs w:val="22"/>
        </w:rPr>
        <w:t>El tercer informe del Observatorio Provincial de Igualdad en las Relaciones Laborales ha sido presentado en</w:t>
      </w:r>
      <w:r w:rsidRPr="00DE5423">
        <w:rPr>
          <w:rFonts w:ascii="Tahoma" w:hAnsi="Tahoma" w:cs="Tahoma"/>
          <w:sz w:val="22"/>
          <w:szCs w:val="22"/>
        </w:rPr>
        <w:t xml:space="preserve"> la Diputación Provincial por los representantes de las insti</w:t>
      </w:r>
      <w:r w:rsidR="00C55356">
        <w:rPr>
          <w:rFonts w:ascii="Tahoma" w:hAnsi="Tahoma" w:cs="Tahoma"/>
          <w:sz w:val="22"/>
          <w:szCs w:val="22"/>
        </w:rPr>
        <w:t xml:space="preserve">tuciones y agentes sociales: </w:t>
      </w:r>
      <w:r w:rsidR="004F5A11">
        <w:rPr>
          <w:rFonts w:ascii="Tahoma" w:hAnsi="Tahoma" w:cs="Tahoma"/>
          <w:sz w:val="22"/>
          <w:szCs w:val="22"/>
        </w:rPr>
        <w:t>Pedro Antonio González, d</w:t>
      </w:r>
      <w:r w:rsidR="00C55356" w:rsidRPr="00C55356">
        <w:rPr>
          <w:rFonts w:ascii="Tahoma" w:hAnsi="Tahoma" w:cs="Tahoma"/>
          <w:sz w:val="22"/>
          <w:szCs w:val="22"/>
        </w:rPr>
        <w:t>i</w:t>
      </w:r>
      <w:r w:rsidR="00291FB2">
        <w:rPr>
          <w:rFonts w:ascii="Tahoma" w:hAnsi="Tahoma" w:cs="Tahoma"/>
          <w:sz w:val="22"/>
          <w:szCs w:val="22"/>
        </w:rPr>
        <w:t>putado de Igualdad de Albacete</w:t>
      </w:r>
      <w:r w:rsidR="004F5A11">
        <w:rPr>
          <w:rFonts w:ascii="Tahoma" w:hAnsi="Tahoma" w:cs="Tahoma"/>
          <w:sz w:val="22"/>
          <w:szCs w:val="22"/>
        </w:rPr>
        <w:t>;</w:t>
      </w:r>
      <w:r w:rsidR="00C55356">
        <w:rPr>
          <w:rFonts w:ascii="Tahoma" w:hAnsi="Tahoma" w:cs="Tahoma"/>
          <w:sz w:val="22"/>
          <w:szCs w:val="22"/>
        </w:rPr>
        <w:t xml:space="preserve"> </w:t>
      </w:r>
      <w:r w:rsidR="00291FB2">
        <w:rPr>
          <w:rFonts w:ascii="Tahoma" w:hAnsi="Tahoma" w:cs="Tahoma"/>
          <w:sz w:val="22"/>
          <w:szCs w:val="22"/>
        </w:rPr>
        <w:t>Amparo Torres</w:t>
      </w:r>
      <w:r w:rsidR="004F5A11">
        <w:rPr>
          <w:rFonts w:ascii="Tahoma" w:hAnsi="Tahoma" w:cs="Tahoma"/>
          <w:sz w:val="22"/>
          <w:szCs w:val="22"/>
        </w:rPr>
        <w:t>, c</w:t>
      </w:r>
      <w:r w:rsidR="00C55356" w:rsidRPr="00C55356">
        <w:rPr>
          <w:rFonts w:ascii="Tahoma" w:hAnsi="Tahoma" w:cs="Tahoma"/>
          <w:sz w:val="22"/>
          <w:szCs w:val="22"/>
        </w:rPr>
        <w:t>oncej</w:t>
      </w:r>
      <w:r w:rsidR="004F5A11">
        <w:rPr>
          <w:rFonts w:ascii="Tahoma" w:hAnsi="Tahoma" w:cs="Tahoma"/>
          <w:sz w:val="22"/>
          <w:szCs w:val="22"/>
        </w:rPr>
        <w:t>al</w:t>
      </w:r>
      <w:r w:rsidR="00291FB2">
        <w:rPr>
          <w:rFonts w:ascii="Tahoma" w:hAnsi="Tahoma" w:cs="Tahoma"/>
          <w:sz w:val="22"/>
          <w:szCs w:val="22"/>
        </w:rPr>
        <w:t>a</w:t>
      </w:r>
      <w:r w:rsidR="004F5A11">
        <w:rPr>
          <w:rFonts w:ascii="Tahoma" w:hAnsi="Tahoma" w:cs="Tahoma"/>
          <w:sz w:val="22"/>
          <w:szCs w:val="22"/>
        </w:rPr>
        <w:t xml:space="preserve"> </w:t>
      </w:r>
      <w:r w:rsidR="00291FB2">
        <w:rPr>
          <w:rFonts w:ascii="Tahoma" w:hAnsi="Tahoma" w:cs="Tahoma"/>
          <w:sz w:val="22"/>
          <w:szCs w:val="22"/>
        </w:rPr>
        <w:t xml:space="preserve">Empelo, Formación y Agenda 2030 </w:t>
      </w:r>
      <w:r w:rsidR="00C55356" w:rsidRPr="00C55356">
        <w:rPr>
          <w:rFonts w:ascii="Tahoma" w:hAnsi="Tahoma" w:cs="Tahoma"/>
          <w:sz w:val="22"/>
          <w:szCs w:val="22"/>
        </w:rPr>
        <w:t xml:space="preserve">del </w:t>
      </w:r>
      <w:r w:rsidR="00C55356">
        <w:rPr>
          <w:rFonts w:ascii="Tahoma" w:hAnsi="Tahoma" w:cs="Tahoma"/>
          <w:sz w:val="22"/>
          <w:szCs w:val="22"/>
        </w:rPr>
        <w:t xml:space="preserve"> Ayu</w:t>
      </w:r>
      <w:r w:rsidR="004F5A11">
        <w:rPr>
          <w:rFonts w:ascii="Tahoma" w:hAnsi="Tahoma" w:cs="Tahoma"/>
          <w:sz w:val="22"/>
          <w:szCs w:val="22"/>
        </w:rPr>
        <w:t>ntamiento de Albacete;</w:t>
      </w:r>
      <w:r w:rsidR="00C55356">
        <w:rPr>
          <w:rFonts w:ascii="Tahoma" w:hAnsi="Tahoma" w:cs="Tahoma"/>
          <w:sz w:val="22"/>
          <w:szCs w:val="22"/>
        </w:rPr>
        <w:t xml:space="preserve"> </w:t>
      </w:r>
      <w:r w:rsidR="004F5A11">
        <w:rPr>
          <w:rFonts w:ascii="Tahoma" w:hAnsi="Tahoma" w:cs="Tahoma"/>
          <w:sz w:val="22"/>
          <w:szCs w:val="22"/>
        </w:rPr>
        <w:t>Esther Ruíz Pérez, s</w:t>
      </w:r>
      <w:r w:rsidR="00C55356" w:rsidRPr="00C55356">
        <w:rPr>
          <w:rFonts w:ascii="Tahoma" w:hAnsi="Tahoma" w:cs="Tahoma"/>
          <w:sz w:val="22"/>
          <w:szCs w:val="22"/>
        </w:rPr>
        <w:t xml:space="preserve">ecretaria de Organización de </w:t>
      </w:r>
      <w:r w:rsidR="004F5A11">
        <w:rPr>
          <w:rFonts w:ascii="Tahoma" w:hAnsi="Tahoma" w:cs="Tahoma"/>
          <w:sz w:val="22"/>
          <w:szCs w:val="22"/>
        </w:rPr>
        <w:t>CCOO; Francisco Javier González, s</w:t>
      </w:r>
      <w:r w:rsidR="00C55356" w:rsidRPr="00C55356">
        <w:rPr>
          <w:rFonts w:ascii="Tahoma" w:hAnsi="Tahoma" w:cs="Tahoma"/>
          <w:sz w:val="22"/>
          <w:szCs w:val="22"/>
        </w:rPr>
        <w:t xml:space="preserve">ecretario </w:t>
      </w:r>
      <w:r w:rsidR="004F5A11">
        <w:rPr>
          <w:rFonts w:ascii="Tahoma" w:hAnsi="Tahoma" w:cs="Tahoma"/>
          <w:sz w:val="22"/>
          <w:szCs w:val="22"/>
        </w:rPr>
        <w:t>g</w:t>
      </w:r>
      <w:r w:rsidR="00C55356" w:rsidRPr="00C55356">
        <w:rPr>
          <w:rFonts w:ascii="Tahoma" w:hAnsi="Tahoma" w:cs="Tahoma"/>
          <w:sz w:val="22"/>
          <w:szCs w:val="22"/>
        </w:rPr>
        <w:t>eneral de</w:t>
      </w:r>
      <w:r w:rsidR="004F5A11">
        <w:rPr>
          <w:rFonts w:ascii="Tahoma" w:hAnsi="Tahoma" w:cs="Tahoma"/>
          <w:sz w:val="22"/>
          <w:szCs w:val="22"/>
        </w:rPr>
        <w:t xml:space="preserve"> UGT,</w:t>
      </w:r>
      <w:r w:rsidR="00C55356">
        <w:rPr>
          <w:rFonts w:ascii="Tahoma" w:hAnsi="Tahoma" w:cs="Tahoma"/>
          <w:sz w:val="22"/>
          <w:szCs w:val="22"/>
        </w:rPr>
        <w:t xml:space="preserve"> y </w:t>
      </w:r>
      <w:r w:rsidR="004F5A11">
        <w:rPr>
          <w:rFonts w:ascii="Tahoma" w:hAnsi="Tahoma" w:cs="Tahoma"/>
          <w:sz w:val="22"/>
          <w:szCs w:val="22"/>
        </w:rPr>
        <w:t xml:space="preserve">Vicente García Martínez, secretario general de </w:t>
      </w:r>
      <w:r w:rsidR="00C55356" w:rsidRPr="00C55356">
        <w:rPr>
          <w:rFonts w:ascii="Tahoma" w:hAnsi="Tahoma" w:cs="Tahoma"/>
          <w:sz w:val="22"/>
          <w:szCs w:val="22"/>
        </w:rPr>
        <w:t>FEDA.</w:t>
      </w:r>
    </w:p>
    <w:p w14:paraId="3651A592" w14:textId="1D8A4848" w:rsidR="00E80231" w:rsidRPr="00E80231" w:rsidRDefault="00E80231" w:rsidP="00E80231">
      <w:pPr>
        <w:pStyle w:val="Textoindependiente"/>
        <w:spacing w:after="0" w:line="240" w:lineRule="auto"/>
        <w:jc w:val="both"/>
        <w:rPr>
          <w:rFonts w:ascii="Tahoma" w:hAnsi="Tahoma" w:cs="Tahoma"/>
          <w:sz w:val="22"/>
          <w:szCs w:val="22"/>
        </w:rPr>
      </w:pPr>
    </w:p>
    <w:p w14:paraId="3DB62D35" w14:textId="3F341625" w:rsidR="00AC39D1" w:rsidRPr="00AC39D1" w:rsidRDefault="00E80231" w:rsidP="00AC39D1">
      <w:pPr>
        <w:pStyle w:val="Textoindependiente"/>
        <w:spacing w:after="0" w:line="240" w:lineRule="auto"/>
        <w:jc w:val="both"/>
        <w:rPr>
          <w:rFonts w:ascii="Tahoma" w:hAnsi="Tahoma" w:cs="Tahoma"/>
          <w:sz w:val="22"/>
          <w:szCs w:val="22"/>
        </w:rPr>
      </w:pPr>
      <w:r>
        <w:rPr>
          <w:rFonts w:ascii="Tahoma" w:hAnsi="Tahoma" w:cs="Tahoma"/>
          <w:sz w:val="22"/>
          <w:szCs w:val="22"/>
        </w:rPr>
        <w:t xml:space="preserve">Dicho </w:t>
      </w:r>
      <w:r w:rsidR="0046471C" w:rsidRPr="006525A1">
        <w:rPr>
          <w:rFonts w:ascii="Tahoma" w:hAnsi="Tahoma" w:cs="Tahoma"/>
          <w:sz w:val="22"/>
          <w:szCs w:val="22"/>
        </w:rPr>
        <w:t>informe</w:t>
      </w:r>
      <w:r>
        <w:rPr>
          <w:rFonts w:ascii="Tahoma" w:hAnsi="Tahoma" w:cs="Tahoma"/>
          <w:sz w:val="22"/>
          <w:szCs w:val="22"/>
        </w:rPr>
        <w:t xml:space="preserve"> </w:t>
      </w:r>
      <w:r w:rsidR="005E459F" w:rsidRPr="006525A1">
        <w:rPr>
          <w:rFonts w:ascii="Tahoma" w:hAnsi="Tahoma" w:cs="Tahoma"/>
          <w:sz w:val="22"/>
          <w:szCs w:val="22"/>
        </w:rPr>
        <w:t>ha tomado una muestra aleatoria de un total de</w:t>
      </w:r>
      <w:r w:rsidR="006525A1" w:rsidRPr="006525A1">
        <w:rPr>
          <w:rFonts w:ascii="Tahoma" w:hAnsi="Tahoma" w:cs="Tahoma"/>
          <w:sz w:val="22"/>
          <w:szCs w:val="22"/>
        </w:rPr>
        <w:t xml:space="preserve"> 56 empresa</w:t>
      </w:r>
      <w:r w:rsidR="006F0682">
        <w:rPr>
          <w:rFonts w:ascii="Tahoma" w:hAnsi="Tahoma" w:cs="Tahoma"/>
          <w:sz w:val="22"/>
          <w:szCs w:val="22"/>
        </w:rPr>
        <w:t>s</w:t>
      </w:r>
      <w:r w:rsidR="004F5A11">
        <w:rPr>
          <w:rFonts w:ascii="Tahoma" w:hAnsi="Tahoma" w:cs="Tahoma"/>
          <w:sz w:val="22"/>
          <w:szCs w:val="22"/>
        </w:rPr>
        <w:t xml:space="preserve"> </w:t>
      </w:r>
      <w:r w:rsidR="00EF55C3">
        <w:rPr>
          <w:rFonts w:ascii="Tahoma" w:hAnsi="Tahoma" w:cs="Tahoma"/>
          <w:sz w:val="22"/>
          <w:szCs w:val="22"/>
        </w:rPr>
        <w:t xml:space="preserve">y de </w:t>
      </w:r>
      <w:r w:rsidR="00EF55C3" w:rsidRPr="00EF55C3">
        <w:rPr>
          <w:rFonts w:ascii="Tahoma" w:hAnsi="Tahoma" w:cs="Tahoma"/>
          <w:sz w:val="22"/>
          <w:szCs w:val="22"/>
        </w:rPr>
        <w:t>358 p</w:t>
      </w:r>
      <w:r w:rsidR="00EF55C3">
        <w:rPr>
          <w:rFonts w:ascii="Tahoma" w:hAnsi="Tahoma" w:cs="Tahoma"/>
          <w:sz w:val="22"/>
          <w:szCs w:val="22"/>
        </w:rPr>
        <w:t xml:space="preserve">ersonas trabajadoras </w:t>
      </w:r>
      <w:r w:rsidR="00EF55C3" w:rsidRPr="00EF55C3">
        <w:rPr>
          <w:rFonts w:ascii="Tahoma" w:hAnsi="Tahoma" w:cs="Tahoma"/>
          <w:sz w:val="22"/>
          <w:szCs w:val="22"/>
        </w:rPr>
        <w:t>de empresas albaceteña</w:t>
      </w:r>
      <w:r w:rsidR="00EF55C3">
        <w:rPr>
          <w:rFonts w:ascii="Tahoma" w:hAnsi="Tahoma" w:cs="Tahoma"/>
          <w:sz w:val="22"/>
          <w:szCs w:val="22"/>
        </w:rPr>
        <w:t xml:space="preserve">, de las cuales han respondido </w:t>
      </w:r>
      <w:r w:rsidR="00EF55C3" w:rsidRPr="00EF55C3">
        <w:rPr>
          <w:rFonts w:ascii="Tahoma" w:hAnsi="Tahoma" w:cs="Tahoma"/>
          <w:sz w:val="22"/>
          <w:szCs w:val="22"/>
        </w:rPr>
        <w:t>un 54% de mujeres y un 46%</w:t>
      </w:r>
      <w:r w:rsidR="00EF55C3">
        <w:rPr>
          <w:rFonts w:ascii="Tahoma" w:hAnsi="Tahoma" w:cs="Tahoma"/>
          <w:sz w:val="22"/>
          <w:szCs w:val="22"/>
        </w:rPr>
        <w:t xml:space="preserve"> </w:t>
      </w:r>
      <w:r w:rsidR="00EF55C3" w:rsidRPr="00EF55C3">
        <w:rPr>
          <w:rFonts w:ascii="Tahoma" w:hAnsi="Tahoma" w:cs="Tahoma"/>
          <w:sz w:val="22"/>
          <w:szCs w:val="22"/>
        </w:rPr>
        <w:t>de hombres</w:t>
      </w:r>
      <w:r w:rsidR="00EF55C3">
        <w:rPr>
          <w:rFonts w:ascii="Tahoma" w:hAnsi="Tahoma" w:cs="Tahoma"/>
          <w:sz w:val="22"/>
          <w:szCs w:val="22"/>
        </w:rPr>
        <w:t>.</w:t>
      </w:r>
      <w:r w:rsidR="00AC39D1">
        <w:rPr>
          <w:rFonts w:ascii="Tahoma" w:hAnsi="Tahoma" w:cs="Tahoma"/>
          <w:sz w:val="22"/>
          <w:szCs w:val="22"/>
        </w:rPr>
        <w:t xml:space="preserve"> </w:t>
      </w:r>
      <w:r w:rsidR="00210188" w:rsidRPr="006525A1">
        <w:rPr>
          <w:rFonts w:ascii="Tahoma" w:hAnsi="Tahoma" w:cs="Tahoma"/>
          <w:sz w:val="22"/>
          <w:szCs w:val="22"/>
        </w:rPr>
        <w:t>A tr</w:t>
      </w:r>
      <w:r w:rsidR="005E459F" w:rsidRPr="006525A1">
        <w:rPr>
          <w:rFonts w:ascii="Tahoma" w:hAnsi="Tahoma" w:cs="Tahoma"/>
          <w:sz w:val="22"/>
          <w:szCs w:val="22"/>
        </w:rPr>
        <w:t>avés de estos diagnósticos se</w:t>
      </w:r>
      <w:r w:rsidR="00480BB0" w:rsidRPr="006525A1">
        <w:rPr>
          <w:rFonts w:ascii="Tahoma" w:hAnsi="Tahoma" w:cs="Tahoma"/>
          <w:sz w:val="22"/>
          <w:szCs w:val="22"/>
        </w:rPr>
        <w:t xml:space="preserve"> </w:t>
      </w:r>
      <w:r w:rsidR="00F804CB" w:rsidRPr="006525A1">
        <w:rPr>
          <w:rFonts w:ascii="Tahoma" w:hAnsi="Tahoma" w:cs="Tahoma"/>
          <w:sz w:val="22"/>
          <w:szCs w:val="22"/>
        </w:rPr>
        <w:t>han obtenido los siguientes indicadores de interés:</w:t>
      </w:r>
    </w:p>
    <w:p w14:paraId="0BEEB652" w14:textId="77777777" w:rsidR="00AC39D1" w:rsidRDefault="00AC39D1" w:rsidP="00AC39D1">
      <w:pPr>
        <w:pStyle w:val="Textoindependiente"/>
        <w:spacing w:after="0" w:line="240" w:lineRule="auto"/>
        <w:ind w:left="720"/>
        <w:rPr>
          <w:rFonts w:ascii="Tahoma" w:hAnsi="Tahoma" w:cs="Tahoma"/>
          <w:sz w:val="22"/>
          <w:szCs w:val="22"/>
        </w:rPr>
      </w:pPr>
    </w:p>
    <w:p w14:paraId="7B8CD2BB" w14:textId="79A09152" w:rsidR="006525A1" w:rsidRPr="00AC39D1" w:rsidRDefault="006525A1" w:rsidP="006525A1">
      <w:pPr>
        <w:pStyle w:val="Textoindependiente"/>
        <w:numPr>
          <w:ilvl w:val="0"/>
          <w:numId w:val="19"/>
        </w:numPr>
        <w:spacing w:after="0" w:line="240" w:lineRule="auto"/>
        <w:jc w:val="both"/>
        <w:rPr>
          <w:rFonts w:ascii="Tahoma" w:hAnsi="Tahoma" w:cs="Tahoma"/>
          <w:sz w:val="22"/>
          <w:szCs w:val="22"/>
        </w:rPr>
      </w:pPr>
      <w:r w:rsidRPr="006525A1">
        <w:rPr>
          <w:rFonts w:ascii="Tahoma" w:hAnsi="Tahoma" w:cs="Tahoma"/>
          <w:sz w:val="22"/>
          <w:szCs w:val="22"/>
        </w:rPr>
        <w:t>El 46% de las empresas participantes cuentan con</w:t>
      </w:r>
      <w:r>
        <w:rPr>
          <w:rFonts w:ascii="Tahoma" w:hAnsi="Tahoma" w:cs="Tahoma"/>
          <w:sz w:val="22"/>
          <w:szCs w:val="22"/>
        </w:rPr>
        <w:t xml:space="preserve"> </w:t>
      </w:r>
      <w:r w:rsidRPr="006525A1">
        <w:rPr>
          <w:rFonts w:ascii="Tahoma" w:hAnsi="Tahoma" w:cs="Tahoma"/>
          <w:sz w:val="22"/>
          <w:szCs w:val="22"/>
        </w:rPr>
        <w:t xml:space="preserve">plan </w:t>
      </w:r>
      <w:r w:rsidR="00EF55C3">
        <w:rPr>
          <w:rFonts w:ascii="Tahoma" w:hAnsi="Tahoma" w:cs="Tahoma"/>
          <w:sz w:val="22"/>
          <w:szCs w:val="22"/>
        </w:rPr>
        <w:t xml:space="preserve">de </w:t>
      </w:r>
      <w:r w:rsidRPr="006525A1">
        <w:rPr>
          <w:rFonts w:ascii="Tahoma" w:hAnsi="Tahoma" w:cs="Tahoma"/>
          <w:sz w:val="22"/>
          <w:szCs w:val="22"/>
        </w:rPr>
        <w:t>igualdad. El 92% de las</w:t>
      </w:r>
      <w:r w:rsidR="00AC39D1">
        <w:rPr>
          <w:rFonts w:ascii="Tahoma" w:hAnsi="Tahoma" w:cs="Tahoma"/>
          <w:sz w:val="22"/>
          <w:szCs w:val="22"/>
        </w:rPr>
        <w:t xml:space="preserve"> </w:t>
      </w:r>
      <w:r w:rsidRPr="006525A1">
        <w:rPr>
          <w:rFonts w:ascii="Tahoma" w:hAnsi="Tahoma" w:cs="Tahoma"/>
          <w:sz w:val="22"/>
          <w:szCs w:val="22"/>
        </w:rPr>
        <w:t>empresas obligadas (más de</w:t>
      </w:r>
      <w:r>
        <w:rPr>
          <w:rFonts w:ascii="Tahoma" w:hAnsi="Tahoma" w:cs="Tahoma"/>
          <w:sz w:val="22"/>
          <w:szCs w:val="22"/>
        </w:rPr>
        <w:t xml:space="preserve"> </w:t>
      </w:r>
      <w:r w:rsidRPr="006525A1">
        <w:rPr>
          <w:rFonts w:ascii="Tahoma" w:hAnsi="Tahoma" w:cs="Tahoma"/>
          <w:sz w:val="22"/>
          <w:szCs w:val="22"/>
        </w:rPr>
        <w:t>cincuenta trabajadores/as) afirman haber</w:t>
      </w:r>
      <w:r>
        <w:rPr>
          <w:rFonts w:ascii="Tahoma" w:hAnsi="Tahoma" w:cs="Tahoma"/>
          <w:sz w:val="22"/>
          <w:szCs w:val="22"/>
        </w:rPr>
        <w:t xml:space="preserve"> </w:t>
      </w:r>
      <w:r w:rsidRPr="006525A1">
        <w:rPr>
          <w:rFonts w:ascii="Tahoma" w:hAnsi="Tahoma" w:cs="Tahoma"/>
          <w:sz w:val="22"/>
          <w:szCs w:val="22"/>
        </w:rPr>
        <w:t>implantado un plan de igualdad.</w:t>
      </w:r>
      <w:r>
        <w:rPr>
          <w:rFonts w:ascii="Tahoma" w:hAnsi="Tahoma" w:cs="Tahoma"/>
          <w:sz w:val="22"/>
          <w:szCs w:val="22"/>
        </w:rPr>
        <w:t xml:space="preserve"> </w:t>
      </w:r>
      <w:r w:rsidRPr="006525A1">
        <w:rPr>
          <w:rFonts w:ascii="Tahoma" w:hAnsi="Tahoma" w:cs="Tahoma"/>
          <w:sz w:val="22"/>
          <w:szCs w:val="22"/>
        </w:rPr>
        <w:t>El 50% lo ha registrado en REGCON.</w:t>
      </w:r>
      <w:r>
        <w:rPr>
          <w:rFonts w:ascii="Tahoma" w:hAnsi="Tahoma" w:cs="Tahoma"/>
          <w:sz w:val="22"/>
          <w:szCs w:val="22"/>
        </w:rPr>
        <w:t xml:space="preserve"> </w:t>
      </w:r>
      <w:r w:rsidRPr="006525A1">
        <w:rPr>
          <w:rFonts w:ascii="Tahoma" w:hAnsi="Tahoma" w:cs="Tahoma"/>
          <w:sz w:val="22"/>
          <w:szCs w:val="22"/>
        </w:rPr>
        <w:t>Un total de 35 empresas albaceteñas han registrado un plan</w:t>
      </w:r>
      <w:r>
        <w:rPr>
          <w:rFonts w:ascii="Tahoma" w:hAnsi="Tahoma" w:cs="Tahoma"/>
          <w:sz w:val="22"/>
          <w:szCs w:val="22"/>
        </w:rPr>
        <w:t xml:space="preserve"> </w:t>
      </w:r>
      <w:r w:rsidRPr="006525A1">
        <w:rPr>
          <w:rFonts w:ascii="Tahoma" w:hAnsi="Tahoma" w:cs="Tahoma"/>
          <w:sz w:val="22"/>
          <w:szCs w:val="22"/>
        </w:rPr>
        <w:t>de igualdad en REGCON en 2022.</w:t>
      </w:r>
    </w:p>
    <w:p w14:paraId="39651FC1" w14:textId="77777777" w:rsidR="00F804CB" w:rsidRPr="003F3826" w:rsidRDefault="00F804CB">
      <w:pPr>
        <w:pStyle w:val="Textoindependiente"/>
        <w:spacing w:after="0" w:line="240" w:lineRule="auto"/>
        <w:jc w:val="both"/>
        <w:rPr>
          <w:rFonts w:ascii="Tahoma" w:hAnsi="Tahoma" w:cs="Tahoma"/>
          <w:color w:val="FF0000"/>
          <w:sz w:val="22"/>
          <w:szCs w:val="22"/>
        </w:rPr>
      </w:pPr>
    </w:p>
    <w:p w14:paraId="11CC8C2E" w14:textId="7EECC3A6" w:rsidR="00E3469E" w:rsidRDefault="00E3469E" w:rsidP="00E3469E">
      <w:pPr>
        <w:pStyle w:val="Textoindependiente"/>
        <w:numPr>
          <w:ilvl w:val="0"/>
          <w:numId w:val="2"/>
        </w:numPr>
        <w:spacing w:after="0" w:line="240" w:lineRule="auto"/>
        <w:jc w:val="both"/>
        <w:rPr>
          <w:rFonts w:ascii="Tahoma" w:hAnsi="Tahoma" w:cs="Tahoma"/>
          <w:sz w:val="22"/>
          <w:szCs w:val="22"/>
        </w:rPr>
      </w:pPr>
      <w:r>
        <w:rPr>
          <w:rFonts w:ascii="Tahoma" w:hAnsi="Tahoma" w:cs="Tahoma"/>
          <w:sz w:val="22"/>
          <w:szCs w:val="22"/>
        </w:rPr>
        <w:t>El</w:t>
      </w:r>
      <w:r w:rsidR="006F0682">
        <w:rPr>
          <w:rFonts w:ascii="Tahoma" w:hAnsi="Tahoma" w:cs="Tahoma"/>
          <w:sz w:val="22"/>
          <w:szCs w:val="22"/>
        </w:rPr>
        <w:t xml:space="preserve"> 55% de las empresas participantes frente a un 45% afirman contar con Representación Legal de las Personas Trabajadoras (RLPT</w:t>
      </w:r>
      <w:r w:rsidR="00AC39D1">
        <w:rPr>
          <w:rFonts w:ascii="Tahoma" w:hAnsi="Tahoma" w:cs="Tahoma"/>
          <w:sz w:val="22"/>
          <w:szCs w:val="22"/>
        </w:rPr>
        <w:t>).</w:t>
      </w:r>
    </w:p>
    <w:p w14:paraId="03798FEC" w14:textId="77777777" w:rsidR="004F5A11" w:rsidRDefault="004F5A11" w:rsidP="004F5A11">
      <w:pPr>
        <w:pStyle w:val="Textoindependiente"/>
        <w:spacing w:after="0" w:line="240" w:lineRule="auto"/>
        <w:jc w:val="both"/>
        <w:rPr>
          <w:rFonts w:ascii="Tahoma" w:hAnsi="Tahoma" w:cs="Tahoma"/>
          <w:sz w:val="22"/>
          <w:szCs w:val="22"/>
        </w:rPr>
      </w:pPr>
    </w:p>
    <w:p w14:paraId="69930243" w14:textId="77777777" w:rsidR="004F5A11" w:rsidRDefault="004F5A11" w:rsidP="004F5A11">
      <w:pPr>
        <w:pStyle w:val="Textoindependiente"/>
        <w:spacing w:after="0" w:line="240" w:lineRule="auto"/>
        <w:jc w:val="both"/>
        <w:rPr>
          <w:rFonts w:ascii="Tahoma" w:hAnsi="Tahoma" w:cs="Tahoma"/>
          <w:sz w:val="22"/>
          <w:szCs w:val="22"/>
        </w:rPr>
      </w:pPr>
    </w:p>
    <w:p w14:paraId="47CAA0A7" w14:textId="77777777" w:rsidR="004F5A11" w:rsidRPr="000C1838" w:rsidRDefault="004F5A11" w:rsidP="004F5A11">
      <w:pPr>
        <w:pStyle w:val="Textoindependiente"/>
        <w:spacing w:after="0" w:line="240" w:lineRule="auto"/>
        <w:jc w:val="both"/>
        <w:rPr>
          <w:rFonts w:ascii="Tahoma" w:hAnsi="Tahoma" w:cs="Tahoma"/>
          <w:sz w:val="22"/>
          <w:szCs w:val="22"/>
        </w:rPr>
      </w:pPr>
    </w:p>
    <w:p w14:paraId="37E20E94" w14:textId="77777777" w:rsidR="00E3469E" w:rsidRPr="00AC39D1" w:rsidRDefault="00E3469E" w:rsidP="00E3469E">
      <w:pPr>
        <w:pStyle w:val="Textoindependiente"/>
        <w:spacing w:after="0" w:line="240" w:lineRule="auto"/>
        <w:ind w:left="720"/>
        <w:jc w:val="both"/>
        <w:rPr>
          <w:rFonts w:ascii="Tahoma" w:hAnsi="Tahoma" w:cs="Tahoma"/>
          <w:sz w:val="22"/>
          <w:szCs w:val="22"/>
        </w:rPr>
      </w:pPr>
    </w:p>
    <w:p w14:paraId="621F287B" w14:textId="41544F5E" w:rsidR="00EF55C3" w:rsidRPr="00E3469E" w:rsidRDefault="00AC39D1" w:rsidP="00E3469E">
      <w:pPr>
        <w:pStyle w:val="Textoindependiente"/>
        <w:numPr>
          <w:ilvl w:val="0"/>
          <w:numId w:val="2"/>
        </w:numPr>
        <w:spacing w:after="0" w:line="240" w:lineRule="auto"/>
        <w:jc w:val="both"/>
        <w:rPr>
          <w:rFonts w:ascii="Tahoma" w:hAnsi="Tahoma" w:cs="Tahoma"/>
          <w:sz w:val="22"/>
          <w:szCs w:val="22"/>
        </w:rPr>
      </w:pPr>
      <w:r w:rsidRPr="00E3469E">
        <w:rPr>
          <w:rFonts w:ascii="Tahoma" w:hAnsi="Tahoma" w:cs="Tahoma"/>
          <w:sz w:val="22"/>
          <w:szCs w:val="22"/>
        </w:rPr>
        <w:lastRenderedPageBreak/>
        <w:t>El</w:t>
      </w:r>
      <w:r w:rsidR="00EF55C3" w:rsidRPr="00E3469E">
        <w:rPr>
          <w:rFonts w:ascii="Tahoma" w:hAnsi="Tahoma" w:cs="Tahoma"/>
          <w:sz w:val="22"/>
          <w:szCs w:val="22"/>
        </w:rPr>
        <w:t xml:space="preserve"> 66% del tejido empresarial implementa medidas de igualdad, frente a un 34% que no lo hace. De éste, el 89% implementa medidas para fomentar la conciliación. Más del 50% afirman implementar medidas de sensibilización</w:t>
      </w:r>
      <w:r w:rsidR="00E3469E" w:rsidRPr="00E3469E">
        <w:rPr>
          <w:rFonts w:ascii="Tahoma" w:hAnsi="Tahoma" w:cs="Tahoma"/>
          <w:sz w:val="22"/>
          <w:szCs w:val="22"/>
        </w:rPr>
        <w:t xml:space="preserve"> </w:t>
      </w:r>
      <w:r w:rsidR="00EF55C3" w:rsidRPr="00E3469E">
        <w:rPr>
          <w:rFonts w:ascii="Tahoma" w:hAnsi="Tahoma" w:cs="Tahoma"/>
          <w:sz w:val="22"/>
          <w:szCs w:val="22"/>
        </w:rPr>
        <w:t>y formación, acciones para un uso del lenguaje inclusivo y medidas de igualdad salarial. Un 43% implantan protocolos, guías y procedimientos para garantizar un entorno libre de discriminaciones sexistas.</w:t>
      </w:r>
    </w:p>
    <w:p w14:paraId="5A75B186" w14:textId="77777777" w:rsidR="00E3469E" w:rsidRPr="00E3469E" w:rsidRDefault="00E3469E" w:rsidP="00E3469E">
      <w:pPr>
        <w:pStyle w:val="Textoindependiente"/>
        <w:spacing w:after="0" w:line="240" w:lineRule="auto"/>
        <w:ind w:left="720"/>
        <w:jc w:val="both"/>
        <w:rPr>
          <w:rFonts w:ascii="Tahoma" w:hAnsi="Tahoma" w:cs="Tahoma"/>
          <w:sz w:val="22"/>
          <w:szCs w:val="22"/>
        </w:rPr>
      </w:pPr>
    </w:p>
    <w:p w14:paraId="4FF393AB" w14:textId="34296123" w:rsidR="00AC39D1" w:rsidRPr="00AC39D1" w:rsidRDefault="00AC39D1" w:rsidP="00AC39D1">
      <w:pPr>
        <w:pStyle w:val="Prrafodelista"/>
        <w:numPr>
          <w:ilvl w:val="0"/>
          <w:numId w:val="2"/>
        </w:numPr>
        <w:jc w:val="both"/>
        <w:rPr>
          <w:rFonts w:ascii="Tahoma" w:hAnsi="Tahoma" w:cs="Tahoma"/>
        </w:rPr>
      </w:pPr>
      <w:r w:rsidRPr="00AC39D1">
        <w:rPr>
          <w:rFonts w:ascii="Tahoma" w:hAnsi="Tahoma" w:cs="Tahoma"/>
        </w:rPr>
        <w:t xml:space="preserve">El 39% de </w:t>
      </w:r>
      <w:r>
        <w:rPr>
          <w:rFonts w:ascii="Tahoma" w:hAnsi="Tahoma" w:cs="Tahoma"/>
        </w:rPr>
        <w:t xml:space="preserve">personas trabajadoras </w:t>
      </w:r>
      <w:r w:rsidRPr="00AC39D1">
        <w:rPr>
          <w:rFonts w:ascii="Tahoma" w:hAnsi="Tahoma" w:cs="Tahoma"/>
        </w:rPr>
        <w:t>NO pueden afirmar con</w:t>
      </w:r>
      <w:r>
        <w:rPr>
          <w:rFonts w:ascii="Tahoma" w:hAnsi="Tahoma" w:cs="Tahoma"/>
        </w:rPr>
        <w:t xml:space="preserve"> </w:t>
      </w:r>
      <w:r w:rsidRPr="00AC39D1">
        <w:rPr>
          <w:rFonts w:ascii="Tahoma" w:hAnsi="Tahoma" w:cs="Tahoma"/>
        </w:rPr>
        <w:t>seguridad si sus empresas implantan medidas para fomentar la</w:t>
      </w:r>
      <w:r>
        <w:rPr>
          <w:rFonts w:ascii="Tahoma" w:hAnsi="Tahoma" w:cs="Tahoma"/>
        </w:rPr>
        <w:t xml:space="preserve"> </w:t>
      </w:r>
      <w:r w:rsidRPr="00AC39D1">
        <w:rPr>
          <w:rFonts w:ascii="Tahoma" w:hAnsi="Tahoma" w:cs="Tahoma"/>
        </w:rPr>
        <w:t>Igualdad, frente a un 60% que afirman que si las implementan (de los</w:t>
      </w:r>
      <w:r>
        <w:rPr>
          <w:rFonts w:ascii="Tahoma" w:hAnsi="Tahoma" w:cs="Tahoma"/>
        </w:rPr>
        <w:t xml:space="preserve"> </w:t>
      </w:r>
      <w:r w:rsidRPr="00AC39D1">
        <w:rPr>
          <w:rFonts w:ascii="Tahoma" w:hAnsi="Tahoma" w:cs="Tahoma"/>
        </w:rPr>
        <w:t>cuales 51% son mujeres frente a un 49% hombres).</w:t>
      </w:r>
    </w:p>
    <w:p w14:paraId="695D4A7D" w14:textId="58B79DC8" w:rsidR="00AC39D1" w:rsidRDefault="00AC39D1" w:rsidP="00AC39D1">
      <w:pPr>
        <w:pStyle w:val="Textoindependiente"/>
        <w:numPr>
          <w:ilvl w:val="0"/>
          <w:numId w:val="2"/>
        </w:numPr>
        <w:spacing w:after="0" w:line="240" w:lineRule="auto"/>
        <w:jc w:val="both"/>
        <w:rPr>
          <w:rFonts w:ascii="Tahoma" w:hAnsi="Tahoma" w:cs="Tahoma"/>
          <w:sz w:val="22"/>
          <w:szCs w:val="22"/>
        </w:rPr>
      </w:pPr>
      <w:r w:rsidRPr="00AC39D1">
        <w:rPr>
          <w:rFonts w:ascii="Tahoma" w:hAnsi="Tahoma" w:cs="Tahoma"/>
          <w:sz w:val="22"/>
          <w:szCs w:val="22"/>
        </w:rPr>
        <w:t>El 25% de las empresas cuentan con una plantilla paritaria frente a un</w:t>
      </w:r>
      <w:r>
        <w:rPr>
          <w:rFonts w:ascii="Tahoma" w:hAnsi="Tahoma" w:cs="Tahoma"/>
          <w:sz w:val="22"/>
          <w:szCs w:val="22"/>
        </w:rPr>
        <w:t xml:space="preserve"> </w:t>
      </w:r>
      <w:r w:rsidRPr="00AC39D1">
        <w:rPr>
          <w:rFonts w:ascii="Tahoma" w:hAnsi="Tahoma" w:cs="Tahoma"/>
          <w:sz w:val="22"/>
          <w:szCs w:val="22"/>
        </w:rPr>
        <w:t>75% que establece que su plantilla en general está masculinizada (36%) o</w:t>
      </w:r>
      <w:r>
        <w:rPr>
          <w:rFonts w:ascii="Tahoma" w:hAnsi="Tahoma" w:cs="Tahoma"/>
          <w:sz w:val="22"/>
          <w:szCs w:val="22"/>
        </w:rPr>
        <w:t xml:space="preserve"> </w:t>
      </w:r>
      <w:r w:rsidRPr="00AC39D1">
        <w:rPr>
          <w:rFonts w:ascii="Tahoma" w:hAnsi="Tahoma" w:cs="Tahoma"/>
          <w:sz w:val="22"/>
          <w:szCs w:val="22"/>
        </w:rPr>
        <w:t>feminizada (40%). Con respecto al año anterior, ha disminuido la paridad</w:t>
      </w:r>
      <w:r>
        <w:rPr>
          <w:rFonts w:ascii="Tahoma" w:hAnsi="Tahoma" w:cs="Tahoma"/>
          <w:sz w:val="22"/>
          <w:szCs w:val="22"/>
        </w:rPr>
        <w:t xml:space="preserve"> </w:t>
      </w:r>
      <w:r w:rsidRPr="00AC39D1">
        <w:rPr>
          <w:rFonts w:ascii="Tahoma" w:hAnsi="Tahoma" w:cs="Tahoma"/>
          <w:sz w:val="22"/>
          <w:szCs w:val="22"/>
        </w:rPr>
        <w:t>en las plantillas en cinco puntos porcentuales.</w:t>
      </w:r>
    </w:p>
    <w:p w14:paraId="172CD92D" w14:textId="77777777" w:rsidR="00AC39D1" w:rsidRDefault="00AC39D1" w:rsidP="00AC39D1">
      <w:pPr>
        <w:pStyle w:val="Textoindependiente"/>
        <w:spacing w:after="0" w:line="240" w:lineRule="auto"/>
        <w:ind w:left="720"/>
        <w:jc w:val="both"/>
        <w:rPr>
          <w:rFonts w:ascii="Tahoma" w:hAnsi="Tahoma" w:cs="Tahoma"/>
          <w:sz w:val="22"/>
          <w:szCs w:val="22"/>
        </w:rPr>
      </w:pPr>
    </w:p>
    <w:p w14:paraId="002CFB76" w14:textId="77777777" w:rsidR="00AC39D1" w:rsidRPr="00AC39D1" w:rsidRDefault="00AC39D1" w:rsidP="00AC39D1">
      <w:pPr>
        <w:pStyle w:val="Textoindependiente"/>
        <w:numPr>
          <w:ilvl w:val="0"/>
          <w:numId w:val="2"/>
        </w:numPr>
        <w:spacing w:after="0" w:line="240" w:lineRule="auto"/>
        <w:jc w:val="both"/>
        <w:rPr>
          <w:rFonts w:ascii="Tahoma" w:hAnsi="Tahoma" w:cs="Tahoma"/>
          <w:sz w:val="22"/>
          <w:szCs w:val="22"/>
        </w:rPr>
      </w:pPr>
      <w:r>
        <w:rPr>
          <w:rFonts w:ascii="Tahoma" w:hAnsi="Tahoma" w:cs="Tahoma"/>
          <w:sz w:val="22"/>
          <w:szCs w:val="22"/>
        </w:rPr>
        <w:t>E</w:t>
      </w:r>
      <w:r w:rsidRPr="00AC39D1">
        <w:rPr>
          <w:rFonts w:ascii="Tahoma" w:hAnsi="Tahoma" w:cs="Tahoma"/>
          <w:sz w:val="22"/>
          <w:szCs w:val="22"/>
        </w:rPr>
        <w:t>l 66% de los/as trabajadores/as consideran que los procesos de</w:t>
      </w:r>
      <w:r>
        <w:rPr>
          <w:rFonts w:ascii="Tahoma" w:hAnsi="Tahoma" w:cs="Tahoma"/>
          <w:sz w:val="22"/>
          <w:szCs w:val="22"/>
        </w:rPr>
        <w:t xml:space="preserve"> </w:t>
      </w:r>
      <w:r w:rsidRPr="00AC39D1">
        <w:rPr>
          <w:rFonts w:ascii="Tahoma" w:hAnsi="Tahoma" w:cs="Tahoma"/>
          <w:sz w:val="22"/>
          <w:szCs w:val="22"/>
        </w:rPr>
        <w:t>promoción son objetivos frente a un 34% que indican lo contrario o al menos no</w:t>
      </w:r>
      <w:r>
        <w:rPr>
          <w:rFonts w:ascii="Tahoma" w:hAnsi="Tahoma" w:cs="Tahoma"/>
          <w:sz w:val="22"/>
          <w:szCs w:val="22"/>
        </w:rPr>
        <w:t xml:space="preserve"> </w:t>
      </w:r>
      <w:r w:rsidRPr="00AC39D1">
        <w:rPr>
          <w:rFonts w:ascii="Tahoma" w:hAnsi="Tahoma" w:cs="Tahoma"/>
          <w:sz w:val="22"/>
          <w:szCs w:val="22"/>
        </w:rPr>
        <w:t>pueden afirmarlo con seguridad. El 86% de éstos son mujeres.</w:t>
      </w:r>
      <w:r>
        <w:rPr>
          <w:rFonts w:ascii="Tahoma" w:hAnsi="Tahoma" w:cs="Tahoma"/>
          <w:sz w:val="22"/>
          <w:szCs w:val="22"/>
        </w:rPr>
        <w:t xml:space="preserve"> </w:t>
      </w:r>
      <w:r w:rsidRPr="00AC39D1">
        <w:rPr>
          <w:rFonts w:ascii="Tahoma" w:hAnsi="Tahoma" w:cs="Tahoma"/>
          <w:sz w:val="22"/>
          <w:szCs w:val="22"/>
        </w:rPr>
        <w:t>En 2021 un 57% consideraban tener las mismas oportunidades frente a un 43%</w:t>
      </w:r>
      <w:r>
        <w:rPr>
          <w:rFonts w:ascii="Tahoma" w:hAnsi="Tahoma" w:cs="Tahoma"/>
          <w:sz w:val="22"/>
          <w:szCs w:val="22"/>
        </w:rPr>
        <w:t xml:space="preserve"> </w:t>
      </w:r>
      <w:r w:rsidRPr="00AC39D1">
        <w:rPr>
          <w:rFonts w:ascii="Tahoma" w:hAnsi="Tahoma" w:cs="Tahoma"/>
          <w:sz w:val="22"/>
          <w:szCs w:val="22"/>
        </w:rPr>
        <w:t>que afirmaba lo contario, de éste, un 68% era mujeres.</w:t>
      </w:r>
    </w:p>
    <w:p w14:paraId="456B4065" w14:textId="77777777" w:rsidR="00E3469E" w:rsidRPr="00E3469E" w:rsidRDefault="00E3469E" w:rsidP="00E3469E">
      <w:pPr>
        <w:pStyle w:val="Textoindependiente"/>
        <w:spacing w:after="0" w:line="240" w:lineRule="auto"/>
        <w:jc w:val="both"/>
        <w:rPr>
          <w:rFonts w:ascii="Tahoma" w:hAnsi="Tahoma" w:cs="Tahoma"/>
          <w:sz w:val="22"/>
          <w:szCs w:val="22"/>
        </w:rPr>
      </w:pPr>
    </w:p>
    <w:p w14:paraId="44BD891D" w14:textId="273C3CC0" w:rsidR="00E3469E" w:rsidRPr="00E3469E" w:rsidRDefault="00E3469E" w:rsidP="00E3469E">
      <w:pPr>
        <w:pStyle w:val="Textoindependiente"/>
        <w:numPr>
          <w:ilvl w:val="0"/>
          <w:numId w:val="2"/>
        </w:numPr>
        <w:spacing w:after="0" w:line="240" w:lineRule="auto"/>
        <w:jc w:val="both"/>
        <w:rPr>
          <w:rFonts w:ascii="Tahoma" w:hAnsi="Tahoma" w:cs="Tahoma"/>
          <w:sz w:val="22"/>
          <w:szCs w:val="22"/>
        </w:rPr>
      </w:pPr>
      <w:r w:rsidRPr="00E3469E">
        <w:rPr>
          <w:rFonts w:ascii="Tahoma" w:hAnsi="Tahoma" w:cs="Tahoma"/>
          <w:sz w:val="22"/>
          <w:szCs w:val="22"/>
        </w:rPr>
        <w:t xml:space="preserve">En 2022 el 41% de las empresas cuentan con órganos de dirección paritarios frente a un 59% </w:t>
      </w:r>
    </w:p>
    <w:p w14:paraId="66C593A2" w14:textId="7D2C0642" w:rsidR="00E3469E" w:rsidRPr="00E3469E" w:rsidRDefault="00E3469E" w:rsidP="00E3469E">
      <w:pPr>
        <w:pStyle w:val="Textoindependiente"/>
        <w:spacing w:after="0" w:line="240" w:lineRule="auto"/>
        <w:ind w:left="720"/>
        <w:jc w:val="both"/>
        <w:rPr>
          <w:rFonts w:ascii="Tahoma" w:hAnsi="Tahoma" w:cs="Tahoma"/>
          <w:sz w:val="22"/>
          <w:szCs w:val="22"/>
        </w:rPr>
      </w:pPr>
      <w:r w:rsidRPr="00E3469E">
        <w:rPr>
          <w:rFonts w:ascii="Tahoma" w:hAnsi="Tahoma" w:cs="Tahoma"/>
          <w:sz w:val="22"/>
          <w:szCs w:val="22"/>
        </w:rPr>
        <w:t>El 54% de las empresas participantes afirman haber ofrecido formación en materia de Igualdad, y se ha incrementado</w:t>
      </w:r>
      <w:r>
        <w:rPr>
          <w:rFonts w:ascii="Tahoma" w:hAnsi="Tahoma" w:cs="Tahoma"/>
          <w:sz w:val="22"/>
          <w:szCs w:val="22"/>
        </w:rPr>
        <w:t xml:space="preserve"> </w:t>
      </w:r>
      <w:r w:rsidRPr="00E3469E">
        <w:rPr>
          <w:rFonts w:ascii="Tahoma" w:hAnsi="Tahoma" w:cs="Tahoma"/>
          <w:sz w:val="22"/>
          <w:szCs w:val="22"/>
        </w:rPr>
        <w:t>considerablemente el porcentaje que lo ofrece a toda la plantilla (de un 14% en 2021 a un 53% en 2022). Aun así, teniendo en cuenta que solo</w:t>
      </w:r>
      <w:r>
        <w:rPr>
          <w:rFonts w:ascii="Tahoma" w:hAnsi="Tahoma" w:cs="Tahoma"/>
          <w:sz w:val="22"/>
          <w:szCs w:val="22"/>
        </w:rPr>
        <w:t xml:space="preserve"> </w:t>
      </w:r>
      <w:r w:rsidRPr="00E3469E">
        <w:rPr>
          <w:rFonts w:ascii="Tahoma" w:hAnsi="Tahoma" w:cs="Tahoma"/>
          <w:sz w:val="22"/>
          <w:szCs w:val="22"/>
        </w:rPr>
        <w:t>un 38% de los/as trabajadores afirman haber recibido formación en materia de igualdad, hay que fomentar este tipo de acciones, que sin lugar a duda producen un efecto concienciador y transformador.</w:t>
      </w:r>
    </w:p>
    <w:p w14:paraId="37E20D90" w14:textId="77777777" w:rsidR="000C1838" w:rsidRDefault="000C1838" w:rsidP="000C1838">
      <w:pPr>
        <w:pStyle w:val="Textoindependiente"/>
        <w:spacing w:after="0" w:line="240" w:lineRule="auto"/>
        <w:jc w:val="both"/>
        <w:rPr>
          <w:rFonts w:ascii="Tahoma" w:hAnsi="Tahoma" w:cs="Tahoma"/>
          <w:sz w:val="22"/>
          <w:szCs w:val="22"/>
        </w:rPr>
      </w:pPr>
    </w:p>
    <w:p w14:paraId="44341DEA" w14:textId="24D236F9" w:rsidR="00944474" w:rsidRPr="00BF1A46" w:rsidRDefault="000C1838" w:rsidP="000C1838">
      <w:pPr>
        <w:pStyle w:val="Textoindependiente"/>
        <w:spacing w:after="0" w:line="240" w:lineRule="auto"/>
        <w:jc w:val="both"/>
        <w:rPr>
          <w:rFonts w:ascii="Tahoma" w:hAnsi="Tahoma" w:cs="Tahoma"/>
          <w:b/>
          <w:sz w:val="22"/>
          <w:szCs w:val="22"/>
        </w:rPr>
      </w:pPr>
      <w:r w:rsidRPr="00BF1A46">
        <w:rPr>
          <w:rFonts w:ascii="Tahoma" w:hAnsi="Tahoma" w:cs="Tahoma"/>
          <w:b/>
          <w:sz w:val="22"/>
          <w:szCs w:val="22"/>
        </w:rPr>
        <w:t>Conclusiones y recomendacio</w:t>
      </w:r>
      <w:r w:rsidR="004F5A11">
        <w:rPr>
          <w:rFonts w:ascii="Tahoma" w:hAnsi="Tahoma" w:cs="Tahoma"/>
          <w:b/>
          <w:sz w:val="22"/>
          <w:szCs w:val="22"/>
        </w:rPr>
        <w:t>nes extraídas del tercer año de trabajo del OPI e</w:t>
      </w:r>
      <w:r w:rsidRPr="00BF1A46">
        <w:rPr>
          <w:rFonts w:ascii="Tahoma" w:hAnsi="Tahoma" w:cs="Tahoma"/>
          <w:b/>
          <w:sz w:val="22"/>
          <w:szCs w:val="22"/>
        </w:rPr>
        <w:t xml:space="preserve"> informe comparativo:</w:t>
      </w:r>
    </w:p>
    <w:p w14:paraId="58409CA4" w14:textId="77777777" w:rsidR="000C1838" w:rsidRPr="00BF1A46" w:rsidRDefault="000C1838" w:rsidP="000C1838">
      <w:pPr>
        <w:pStyle w:val="Textoindependiente"/>
        <w:spacing w:after="0" w:line="240" w:lineRule="auto"/>
        <w:jc w:val="both"/>
        <w:rPr>
          <w:rFonts w:ascii="Tahoma" w:hAnsi="Tahoma" w:cs="Tahoma"/>
          <w:sz w:val="22"/>
          <w:szCs w:val="22"/>
        </w:rPr>
      </w:pPr>
    </w:p>
    <w:p w14:paraId="554BE9E3" w14:textId="03190B86" w:rsidR="000C1838" w:rsidRPr="00BF1A46" w:rsidRDefault="000C1838" w:rsidP="000C1838">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bCs/>
          <w:sz w:val="22"/>
          <w:szCs w:val="22"/>
        </w:rPr>
        <w:t xml:space="preserve">Aunque en los últimos tres años se ha producido un incremento del número de organizaciones que han registrado sus </w:t>
      </w:r>
      <w:r w:rsidRPr="00BF1A46">
        <w:rPr>
          <w:rFonts w:ascii="Tahoma" w:hAnsi="Tahoma" w:cs="Tahoma"/>
          <w:sz w:val="22"/>
          <w:szCs w:val="22"/>
        </w:rPr>
        <w:t xml:space="preserve">Planes de Igualdad </w:t>
      </w:r>
      <w:r w:rsidRPr="00BF1A46">
        <w:rPr>
          <w:rFonts w:ascii="Tahoma" w:hAnsi="Tahoma" w:cs="Tahoma"/>
          <w:bCs/>
          <w:sz w:val="22"/>
          <w:szCs w:val="22"/>
        </w:rPr>
        <w:t>(un 43% frente al 23% del año anterior), es preciso tener en cuenta que todavía más de la mitad de las empresas albaceteñas tiene esa tarea pendiente.</w:t>
      </w:r>
    </w:p>
    <w:p w14:paraId="505F7CC9" w14:textId="77777777" w:rsidR="00BF1A46" w:rsidRPr="00BF1A46" w:rsidRDefault="00BF1A46" w:rsidP="00BF1A46">
      <w:pPr>
        <w:pStyle w:val="Textoindependiente"/>
        <w:spacing w:after="0" w:line="240" w:lineRule="auto"/>
        <w:ind w:left="720"/>
        <w:jc w:val="both"/>
        <w:rPr>
          <w:rFonts w:ascii="Tahoma" w:hAnsi="Tahoma" w:cs="Tahoma"/>
          <w:sz w:val="22"/>
          <w:szCs w:val="22"/>
        </w:rPr>
      </w:pPr>
    </w:p>
    <w:p w14:paraId="487FC858" w14:textId="351A998E" w:rsidR="000C1838" w:rsidRDefault="000C1838" w:rsidP="000C1838">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sz w:val="22"/>
          <w:szCs w:val="22"/>
        </w:rPr>
        <w:t xml:space="preserve">Solo un 34% de los y las trabajadoras afirma haber recibido comunicación por parte de las empresas de la existencia de un plan de igualdad, algo que se debe fomentar y reforzar. Esto nos viene a decir que aunque las medidas se acuerdan y se registran tal vez no se están difundiendo de forma suficiente. </w:t>
      </w:r>
    </w:p>
    <w:p w14:paraId="7A43120B" w14:textId="77777777" w:rsidR="00BF1A46" w:rsidRPr="00BF1A46" w:rsidRDefault="00BF1A46" w:rsidP="00BF1A46">
      <w:pPr>
        <w:pStyle w:val="Textoindependiente"/>
        <w:spacing w:after="0" w:line="240" w:lineRule="auto"/>
        <w:jc w:val="both"/>
        <w:rPr>
          <w:rFonts w:ascii="Tahoma" w:hAnsi="Tahoma" w:cs="Tahoma"/>
          <w:sz w:val="22"/>
          <w:szCs w:val="22"/>
        </w:rPr>
      </w:pPr>
    </w:p>
    <w:p w14:paraId="42903CE2" w14:textId="77777777" w:rsidR="00BF1A46" w:rsidRDefault="00BF1A46" w:rsidP="000C1838">
      <w:pPr>
        <w:pStyle w:val="Textoindependiente"/>
        <w:numPr>
          <w:ilvl w:val="0"/>
          <w:numId w:val="20"/>
        </w:numPr>
        <w:spacing w:after="0" w:line="240" w:lineRule="auto"/>
        <w:jc w:val="both"/>
        <w:rPr>
          <w:rFonts w:ascii="Tahoma" w:hAnsi="Tahoma" w:cs="Tahoma"/>
          <w:sz w:val="22"/>
          <w:szCs w:val="22"/>
        </w:rPr>
      </w:pPr>
      <w:r>
        <w:rPr>
          <w:rFonts w:ascii="Tahoma" w:hAnsi="Tahoma" w:cs="Tahoma"/>
          <w:sz w:val="22"/>
          <w:szCs w:val="22"/>
        </w:rPr>
        <w:t>En el a</w:t>
      </w:r>
      <w:r w:rsidR="000C1838" w:rsidRPr="00BF1A46">
        <w:rPr>
          <w:rFonts w:ascii="Tahoma" w:hAnsi="Tahoma" w:cs="Tahoma"/>
          <w:sz w:val="22"/>
          <w:szCs w:val="22"/>
        </w:rPr>
        <w:t xml:space="preserve">cceso al empleo, solo un 25% de las organizaciones afirman contar con una plantilla paritaria en cuanto a la presencia de mujeres y hombres. No se ha producido una mejora en este sentido y es uno de los objetivos principales que se plantean institucionalmente con la implementación de políticas de igualdad. </w:t>
      </w:r>
    </w:p>
    <w:p w14:paraId="519AB2C0" w14:textId="77777777" w:rsidR="004F5A11" w:rsidRDefault="004F5A11" w:rsidP="004F5A11">
      <w:pPr>
        <w:pStyle w:val="Prrafodelista"/>
        <w:rPr>
          <w:rFonts w:ascii="Tahoma" w:hAnsi="Tahoma" w:cs="Tahoma"/>
        </w:rPr>
      </w:pPr>
    </w:p>
    <w:p w14:paraId="2F93BBDC" w14:textId="77777777" w:rsidR="004F5A11" w:rsidRDefault="004F5A11" w:rsidP="004F5A11">
      <w:pPr>
        <w:pStyle w:val="Textoindependiente"/>
        <w:spacing w:after="0" w:line="240" w:lineRule="auto"/>
        <w:jc w:val="both"/>
        <w:rPr>
          <w:rFonts w:ascii="Tahoma" w:hAnsi="Tahoma" w:cs="Tahoma"/>
          <w:sz w:val="22"/>
          <w:szCs w:val="22"/>
        </w:rPr>
      </w:pPr>
    </w:p>
    <w:p w14:paraId="29AE0E82" w14:textId="77777777" w:rsidR="00BF1A46" w:rsidRDefault="00BF1A46" w:rsidP="003C128E">
      <w:pPr>
        <w:pStyle w:val="Textoindependiente"/>
        <w:spacing w:after="0" w:line="240" w:lineRule="auto"/>
        <w:jc w:val="both"/>
        <w:rPr>
          <w:rFonts w:ascii="Tahoma" w:hAnsi="Tahoma" w:cs="Tahoma"/>
          <w:sz w:val="22"/>
          <w:szCs w:val="22"/>
        </w:rPr>
      </w:pPr>
    </w:p>
    <w:p w14:paraId="562CA380" w14:textId="7469CFC9" w:rsidR="00BF1A46" w:rsidRDefault="000C1838" w:rsidP="00BF1A46">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sz w:val="22"/>
          <w:szCs w:val="22"/>
        </w:rPr>
        <w:lastRenderedPageBreak/>
        <w:t>Combatir la segregación horizontal. También sigue siendo una tarea pendiente. El 34% de las plantillas consideran que los procesos de selección no son objetivos, mejorando con respecto del 41% de años anteriores, pero siendo aún</w:t>
      </w:r>
      <w:r w:rsidR="003C128E">
        <w:rPr>
          <w:rFonts w:ascii="Tahoma" w:hAnsi="Tahoma" w:cs="Tahoma"/>
          <w:sz w:val="22"/>
          <w:szCs w:val="22"/>
        </w:rPr>
        <w:t xml:space="preserve"> un dato muy elevado.</w:t>
      </w:r>
    </w:p>
    <w:p w14:paraId="697DDD44" w14:textId="77777777" w:rsidR="009F1398" w:rsidRPr="003C128E" w:rsidRDefault="009F1398" w:rsidP="009F1398">
      <w:pPr>
        <w:pStyle w:val="Textoindependiente"/>
        <w:spacing w:after="0" w:line="240" w:lineRule="auto"/>
        <w:jc w:val="both"/>
        <w:rPr>
          <w:rFonts w:ascii="Tahoma" w:hAnsi="Tahoma" w:cs="Tahoma"/>
          <w:sz w:val="22"/>
          <w:szCs w:val="22"/>
        </w:rPr>
      </w:pPr>
    </w:p>
    <w:p w14:paraId="492B81A3" w14:textId="10B098BC" w:rsidR="00BF1A46" w:rsidRPr="00BF1A46" w:rsidRDefault="000C1838" w:rsidP="00BF1A46">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sz w:val="22"/>
          <w:szCs w:val="22"/>
        </w:rPr>
        <w:t xml:space="preserve">En relación a la Conciliación y al fomento de la Corresponsabilidad, el 86% de las empresas afirman que ofrecen medidas para promover el equilibrio vida personal y familiar-trabajo (un 6% más que el año anterior). Se ha incrementado el número de entidades que adaptan la jornada de trabajo al horario escolar en quince puntos porcentuales. </w:t>
      </w:r>
    </w:p>
    <w:p w14:paraId="2519179E" w14:textId="77777777" w:rsidR="00BF1A46" w:rsidRPr="00BF1A46" w:rsidRDefault="00BF1A46" w:rsidP="003350FD">
      <w:pPr>
        <w:pStyle w:val="Textoindependiente"/>
        <w:spacing w:after="0" w:line="240" w:lineRule="auto"/>
        <w:jc w:val="both"/>
        <w:rPr>
          <w:rFonts w:ascii="Tahoma" w:hAnsi="Tahoma" w:cs="Tahoma"/>
          <w:sz w:val="22"/>
          <w:szCs w:val="22"/>
        </w:rPr>
      </w:pPr>
    </w:p>
    <w:p w14:paraId="569CAE48" w14:textId="77777777" w:rsidR="000C1838" w:rsidRDefault="000C1838" w:rsidP="000C1838">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sz w:val="22"/>
          <w:szCs w:val="22"/>
        </w:rPr>
        <w:t xml:space="preserve">El 54% de las empresas participantes afirman haber ofrecido formación en materia de Igualdad, y se ha incrementado considerablemente el porcentaje que lo ofrece a toda la plantilla (de un 14% en 2021 a un 53% en 2022). Aun así, teniendo en cuenta que solo un 38% de los/as trabajadores afirman haber recibido formación en materia de igualdad, hay que fomentar este tipo de acciones, que sin lugar a duda producen un efecto concienciador y transformador. </w:t>
      </w:r>
    </w:p>
    <w:p w14:paraId="035F2D6A" w14:textId="77777777" w:rsidR="00BF1A46" w:rsidRPr="00BF1A46" w:rsidRDefault="00BF1A46" w:rsidP="00BF1A46">
      <w:pPr>
        <w:pStyle w:val="Textoindependiente"/>
        <w:spacing w:after="0" w:line="240" w:lineRule="auto"/>
        <w:jc w:val="both"/>
        <w:rPr>
          <w:rFonts w:ascii="Tahoma" w:hAnsi="Tahoma" w:cs="Tahoma"/>
          <w:sz w:val="22"/>
          <w:szCs w:val="22"/>
        </w:rPr>
      </w:pPr>
    </w:p>
    <w:p w14:paraId="667F5F06" w14:textId="77777777" w:rsidR="006960E2" w:rsidRPr="00BF1A46" w:rsidRDefault="006960E2" w:rsidP="006960E2">
      <w:pPr>
        <w:pStyle w:val="Textoindependiente"/>
        <w:numPr>
          <w:ilvl w:val="0"/>
          <w:numId w:val="20"/>
        </w:numPr>
        <w:spacing w:after="0" w:line="240" w:lineRule="auto"/>
        <w:jc w:val="both"/>
        <w:rPr>
          <w:rFonts w:ascii="Tahoma" w:hAnsi="Tahoma" w:cs="Tahoma"/>
          <w:sz w:val="22"/>
          <w:szCs w:val="22"/>
        </w:rPr>
      </w:pPr>
      <w:r w:rsidRPr="00BF1A46">
        <w:rPr>
          <w:rFonts w:ascii="Tahoma" w:hAnsi="Tahoma" w:cs="Tahoma"/>
          <w:sz w:val="22"/>
          <w:szCs w:val="22"/>
        </w:rPr>
        <w:t xml:space="preserve">Además, aunque ha disminuido el número de personas trabajadoras que perciben situaciones de acoso en la </w:t>
      </w:r>
      <w:r w:rsidRPr="00660FCA">
        <w:rPr>
          <w:rFonts w:ascii="Tahoma" w:hAnsi="Tahoma" w:cs="Tahoma"/>
          <w:sz w:val="22"/>
          <w:szCs w:val="22"/>
        </w:rPr>
        <w:t>empresa, un 12% es un dato alertador, teniendo</w:t>
      </w:r>
      <w:r w:rsidRPr="00BF1A46">
        <w:rPr>
          <w:rFonts w:ascii="Tahoma" w:hAnsi="Tahoma" w:cs="Tahoma"/>
          <w:sz w:val="22"/>
          <w:szCs w:val="22"/>
        </w:rPr>
        <w:t xml:space="preserve"> en cuenta la gravedad de estas situaciones, que no solo tienen consecuencias directas para la salud de las personas, sino también para el clima laboral de las organizaciones. El hecho de que perciban este tipo de conflictos discriminatorios puede venir causado por dos motivos fundamentales:</w:t>
      </w:r>
    </w:p>
    <w:p w14:paraId="56DBB7E2" w14:textId="77777777" w:rsidR="00BF1A46" w:rsidRDefault="006960E2" w:rsidP="00BF1A46">
      <w:pPr>
        <w:pStyle w:val="Textoindependiente"/>
        <w:spacing w:after="0" w:line="240" w:lineRule="auto"/>
        <w:ind w:left="720"/>
        <w:jc w:val="both"/>
        <w:rPr>
          <w:rFonts w:ascii="Tahoma" w:hAnsi="Tahoma" w:cs="Tahoma"/>
          <w:sz w:val="22"/>
          <w:szCs w:val="22"/>
        </w:rPr>
      </w:pPr>
      <w:r w:rsidRPr="00BF1A46">
        <w:rPr>
          <w:rFonts w:ascii="Tahoma" w:hAnsi="Tahoma" w:cs="Tahoma"/>
          <w:sz w:val="22"/>
          <w:szCs w:val="22"/>
        </w:rPr>
        <w:t xml:space="preserve">- Falta de medidas de prevención (sensibilización y formación), para saber interpretar qué conductas son constitutivas de acoso, de forma que el personal pueda detectarlas y cerciorarse de que el conflicto laboral sufrido es un caso de Acoso. </w:t>
      </w:r>
    </w:p>
    <w:p w14:paraId="72DBD131" w14:textId="462A4FB7" w:rsidR="000C1838" w:rsidRPr="00BF1A46" w:rsidRDefault="006960E2" w:rsidP="00BF1A46">
      <w:pPr>
        <w:pStyle w:val="Textoindependiente"/>
        <w:spacing w:after="0" w:line="240" w:lineRule="auto"/>
        <w:ind w:left="720"/>
        <w:jc w:val="both"/>
        <w:rPr>
          <w:rFonts w:ascii="Tahoma" w:hAnsi="Tahoma" w:cs="Tahoma"/>
          <w:sz w:val="22"/>
          <w:szCs w:val="22"/>
        </w:rPr>
      </w:pPr>
      <w:r w:rsidRPr="00BF1A46">
        <w:rPr>
          <w:rFonts w:ascii="Tahoma" w:hAnsi="Tahoma" w:cs="Tahoma"/>
          <w:sz w:val="22"/>
          <w:szCs w:val="22"/>
        </w:rPr>
        <w:t>- Falta de medidas de actuación, concretamente protocolos que doten de protección al personal, garantizando un canal de denuncias y un proceso de resolución.</w:t>
      </w:r>
    </w:p>
    <w:p w14:paraId="63161AE7" w14:textId="77777777" w:rsidR="006960E2" w:rsidRPr="00DD6F76" w:rsidRDefault="006960E2" w:rsidP="006960E2">
      <w:pPr>
        <w:pStyle w:val="Textoindependiente"/>
        <w:spacing w:after="0" w:line="240" w:lineRule="auto"/>
        <w:jc w:val="both"/>
        <w:rPr>
          <w:rFonts w:ascii="Tahoma" w:hAnsi="Tahoma" w:cs="Tahoma"/>
          <w:b/>
          <w:sz w:val="22"/>
          <w:szCs w:val="22"/>
        </w:rPr>
      </w:pPr>
    </w:p>
    <w:p w14:paraId="6212FF7C" w14:textId="6AC4447C" w:rsidR="006960E2" w:rsidRDefault="006960E2" w:rsidP="006960E2">
      <w:pPr>
        <w:pStyle w:val="Textoindependiente"/>
        <w:spacing w:after="0" w:line="240" w:lineRule="auto"/>
        <w:jc w:val="both"/>
        <w:rPr>
          <w:rFonts w:ascii="Tahoma" w:hAnsi="Tahoma" w:cs="Tahoma"/>
          <w:b/>
          <w:sz w:val="22"/>
          <w:szCs w:val="22"/>
        </w:rPr>
      </w:pPr>
      <w:r w:rsidRPr="00DD6F76">
        <w:rPr>
          <w:rFonts w:ascii="Tahoma" w:hAnsi="Tahoma" w:cs="Tahoma"/>
          <w:b/>
          <w:sz w:val="22"/>
          <w:szCs w:val="22"/>
        </w:rPr>
        <w:t>RETOS:</w:t>
      </w:r>
    </w:p>
    <w:p w14:paraId="7E4E7E89" w14:textId="77777777" w:rsidR="00DD6F76" w:rsidRDefault="00DD6F76" w:rsidP="00DD6F76">
      <w:pPr>
        <w:spacing w:after="0"/>
        <w:jc w:val="both"/>
        <w:rPr>
          <w:rFonts w:ascii="Tahoma" w:hAnsi="Tahoma" w:cs="Tahoma"/>
          <w:sz w:val="24"/>
          <w:szCs w:val="24"/>
        </w:rPr>
      </w:pPr>
    </w:p>
    <w:p w14:paraId="29DB725D" w14:textId="77777777" w:rsidR="00DD6F76" w:rsidRPr="00DD6F76" w:rsidRDefault="00DD6F76" w:rsidP="00DD6F76">
      <w:pPr>
        <w:pStyle w:val="Prrafodelista"/>
        <w:numPr>
          <w:ilvl w:val="0"/>
          <w:numId w:val="22"/>
        </w:numPr>
        <w:spacing w:after="0"/>
        <w:jc w:val="both"/>
        <w:rPr>
          <w:rFonts w:ascii="Tahoma" w:hAnsi="Tahoma" w:cs="Tahoma"/>
          <w:b/>
        </w:rPr>
      </w:pPr>
      <w:r w:rsidRPr="00DD6F76">
        <w:rPr>
          <w:rFonts w:ascii="Tahoma" w:hAnsi="Tahoma" w:cs="Tahoma"/>
        </w:rPr>
        <w:t xml:space="preserve">Es importante que el OPI siga realizando esta radiografía de la provincia de Albacete en materia de igualdad de oportunidades entre mujeres y hombres, así como detectar oportunidades de mejora y actuaciones a realizar, y llevarlas a cabo. </w:t>
      </w:r>
    </w:p>
    <w:p w14:paraId="0018DF7C" w14:textId="77777777" w:rsidR="00DD6F76" w:rsidRDefault="00DD6F76" w:rsidP="00DD6F76">
      <w:pPr>
        <w:pStyle w:val="Prrafodelista"/>
        <w:numPr>
          <w:ilvl w:val="0"/>
          <w:numId w:val="22"/>
        </w:numPr>
        <w:spacing w:after="0"/>
        <w:jc w:val="both"/>
        <w:rPr>
          <w:rFonts w:ascii="Tahoma" w:hAnsi="Tahoma" w:cs="Tahoma"/>
          <w:b/>
        </w:rPr>
      </w:pPr>
      <w:r>
        <w:rPr>
          <w:rFonts w:ascii="Tahoma" w:hAnsi="Tahoma" w:cs="Tahoma"/>
        </w:rPr>
        <w:t>Seguir trabajando de manera coordinada con la dirección de las empresas y sus plantillas para A</w:t>
      </w:r>
      <w:r w:rsidRPr="00DD6F76">
        <w:rPr>
          <w:rFonts w:ascii="Tahoma" w:hAnsi="Tahoma" w:cs="Tahoma"/>
        </w:rPr>
        <w:t>nalizar la evolución de la igualdad en la provincia de Albacete</w:t>
      </w:r>
      <w:r>
        <w:rPr>
          <w:rFonts w:ascii="Tahoma" w:hAnsi="Tahoma" w:cs="Tahoma"/>
        </w:rPr>
        <w:t xml:space="preserve">: </w:t>
      </w:r>
      <w:r w:rsidRPr="00DD6F76">
        <w:rPr>
          <w:rFonts w:ascii="Tahoma" w:hAnsi="Tahoma" w:cs="Tahoma"/>
        </w:rPr>
        <w:t>"</w:t>
      </w:r>
      <w:r w:rsidRPr="00DD6F76">
        <w:rPr>
          <w:rFonts w:ascii="Tahoma" w:hAnsi="Tahoma" w:cs="Tahoma"/>
          <w:b/>
        </w:rPr>
        <w:t>lo</w:t>
      </w:r>
      <w:r>
        <w:rPr>
          <w:rFonts w:ascii="Tahoma" w:hAnsi="Tahoma" w:cs="Tahoma"/>
          <w:b/>
        </w:rPr>
        <w:t xml:space="preserve"> que no se mide, no se mejora".</w:t>
      </w:r>
    </w:p>
    <w:p w14:paraId="4E7B8EA3" w14:textId="121952D5" w:rsidR="00DD6F76" w:rsidRPr="00DD6F76" w:rsidRDefault="00DD6F76" w:rsidP="00DD6F76">
      <w:pPr>
        <w:pStyle w:val="Prrafodelista"/>
        <w:numPr>
          <w:ilvl w:val="0"/>
          <w:numId w:val="22"/>
        </w:numPr>
        <w:spacing w:after="0"/>
        <w:jc w:val="both"/>
        <w:rPr>
          <w:rFonts w:ascii="Tahoma" w:hAnsi="Tahoma" w:cs="Tahoma"/>
          <w:b/>
        </w:rPr>
      </w:pPr>
      <w:r w:rsidRPr="00DD6F76">
        <w:rPr>
          <w:rFonts w:ascii="Tahoma" w:hAnsi="Tahoma" w:cs="Tahoma"/>
        </w:rPr>
        <w:t>Seguir desarrollando campañas de sensibilización e información</w:t>
      </w:r>
      <w:r w:rsidR="009F1398">
        <w:rPr>
          <w:rFonts w:ascii="Tahoma" w:eastAsia="SimSun" w:hAnsi="Tahoma" w:cs="Tahoma"/>
          <w:bCs/>
          <w:kern w:val="3"/>
          <w:u w:val="single"/>
          <w:lang w:eastAsia="zh-CN" w:bidi="hi-IN"/>
        </w:rPr>
        <w:t xml:space="preserve"> </w:t>
      </w:r>
      <w:r w:rsidR="006960E2" w:rsidRPr="00DD6F76">
        <w:rPr>
          <w:rFonts w:ascii="Tahoma" w:eastAsia="SimSun" w:hAnsi="Tahoma" w:cs="Tahoma"/>
          <w:bCs/>
          <w:kern w:val="3"/>
          <w:lang w:eastAsia="zh-CN" w:bidi="hi-IN"/>
        </w:rPr>
        <w:t>específica</w:t>
      </w:r>
      <w:r w:rsidRPr="00DD6F76">
        <w:rPr>
          <w:rFonts w:ascii="Tahoma" w:eastAsia="SimSun" w:hAnsi="Tahoma" w:cs="Tahoma"/>
          <w:bCs/>
          <w:kern w:val="3"/>
          <w:lang w:eastAsia="zh-CN" w:bidi="hi-IN"/>
        </w:rPr>
        <w:t>s</w:t>
      </w:r>
      <w:r w:rsidR="006960E2" w:rsidRPr="00DD6F76">
        <w:rPr>
          <w:rFonts w:ascii="Tahoma" w:eastAsia="SimSun" w:hAnsi="Tahoma" w:cs="Tahoma"/>
          <w:bCs/>
          <w:kern w:val="3"/>
          <w:lang w:eastAsia="zh-CN" w:bidi="hi-IN"/>
        </w:rPr>
        <w:t xml:space="preserve"> desde el OPI dirigida a las empresas albaceteñas sobre medidas y políticas de igualdad y, sobre todo, aquellas que suponen obligaciones legales: Planes de igualdad, registros salariales, auditorías retributivas, protocolos y formación en materia de acoso sexista. </w:t>
      </w:r>
    </w:p>
    <w:p w14:paraId="5538ABAE" w14:textId="77777777" w:rsidR="000865B3" w:rsidRPr="000865B3" w:rsidRDefault="006960E2" w:rsidP="000865B3">
      <w:pPr>
        <w:pStyle w:val="Prrafodelista"/>
        <w:numPr>
          <w:ilvl w:val="0"/>
          <w:numId w:val="22"/>
        </w:numPr>
        <w:spacing w:after="0"/>
        <w:jc w:val="both"/>
        <w:rPr>
          <w:rFonts w:ascii="Tahoma" w:hAnsi="Tahoma" w:cs="Tahoma"/>
        </w:rPr>
      </w:pPr>
      <w:r w:rsidRPr="00DD6F76">
        <w:rPr>
          <w:rFonts w:ascii="Tahoma" w:eastAsia="SimSun" w:hAnsi="Tahoma" w:cs="Tahoma"/>
          <w:bCs/>
          <w:kern w:val="3"/>
          <w:lang w:eastAsia="zh-CN" w:bidi="hi-IN"/>
        </w:rPr>
        <w:t xml:space="preserve">Dar continuidad a las </w:t>
      </w:r>
      <w:r w:rsidRPr="000865B3">
        <w:rPr>
          <w:rFonts w:ascii="Tahoma" w:eastAsia="SimSun" w:hAnsi="Tahoma" w:cs="Tahoma"/>
          <w:bCs/>
          <w:kern w:val="3"/>
          <w:lang w:eastAsia="zh-CN" w:bidi="hi-IN"/>
        </w:rPr>
        <w:t>acciones formativas que lanzan instituciones y agentes sociales del Observatorio con cursos jornadas en materia</w:t>
      </w:r>
      <w:r w:rsidR="000865B3">
        <w:rPr>
          <w:rFonts w:ascii="Tahoma" w:eastAsia="SimSun" w:hAnsi="Tahoma" w:cs="Tahoma"/>
          <w:bCs/>
          <w:kern w:val="3"/>
          <w:lang w:eastAsia="zh-CN" w:bidi="hi-IN"/>
        </w:rPr>
        <w:t xml:space="preserve"> de igualdad: </w:t>
      </w:r>
      <w:r w:rsidRPr="000865B3">
        <w:rPr>
          <w:rFonts w:ascii="Tahoma" w:hAnsi="Tahoma" w:cs="Tahoma"/>
          <w:bCs/>
          <w:lang w:bidi="hi-IN"/>
        </w:rPr>
        <w:t>Igualdad salarial, planes de igualdad, negociación colectiva con perspectiva de género, comunicación incluyente, prevención del acoso.</w:t>
      </w:r>
    </w:p>
    <w:p w14:paraId="14603D6C" w14:textId="163814C3" w:rsidR="000865B3" w:rsidRPr="004F5A11" w:rsidRDefault="000865B3" w:rsidP="00C46D9B">
      <w:pPr>
        <w:pStyle w:val="Prrafodelista"/>
        <w:numPr>
          <w:ilvl w:val="0"/>
          <w:numId w:val="22"/>
        </w:numPr>
        <w:spacing w:after="0"/>
        <w:jc w:val="both"/>
        <w:rPr>
          <w:rFonts w:ascii="Tahoma" w:hAnsi="Tahoma" w:cs="Tahoma"/>
        </w:rPr>
      </w:pPr>
      <w:r w:rsidRPr="004F5A11">
        <w:rPr>
          <w:rFonts w:ascii="Tahoma" w:hAnsi="Tahoma" w:cs="Tahoma"/>
        </w:rPr>
        <w:t>Seguir siendo ejemplo a nivel nacional d</w:t>
      </w:r>
      <w:r w:rsidR="009F1398" w:rsidRPr="004F5A11">
        <w:rPr>
          <w:rFonts w:ascii="Tahoma" w:hAnsi="Tahoma" w:cs="Tahoma"/>
        </w:rPr>
        <w:t>e trabajo coordinado y conjunto tanto institucional como parte de los agentes sociales.</w:t>
      </w:r>
    </w:p>
    <w:p w14:paraId="1582F99D" w14:textId="77777777" w:rsidR="000865B3" w:rsidRDefault="000865B3" w:rsidP="000865B3">
      <w:pPr>
        <w:spacing w:after="0"/>
        <w:jc w:val="both"/>
        <w:rPr>
          <w:rFonts w:ascii="Tahoma" w:hAnsi="Tahoma" w:cs="Tahoma"/>
        </w:rPr>
      </w:pPr>
    </w:p>
    <w:p w14:paraId="2BEB955D" w14:textId="05AF118D" w:rsidR="00FF0402" w:rsidRPr="00BF1A46" w:rsidRDefault="000865B3" w:rsidP="004F5A11">
      <w:pPr>
        <w:spacing w:after="0"/>
        <w:jc w:val="both"/>
      </w:pPr>
      <w:r>
        <w:rPr>
          <w:rFonts w:ascii="Tahoma" w:hAnsi="Tahoma" w:cs="Tahoma"/>
        </w:rPr>
        <w:t xml:space="preserve">Acceso completo </w:t>
      </w:r>
      <w:r w:rsidR="009F1398">
        <w:rPr>
          <w:rFonts w:ascii="Tahoma" w:hAnsi="Tahoma" w:cs="Tahoma"/>
        </w:rPr>
        <w:t xml:space="preserve">al informe </w:t>
      </w:r>
      <w:hyperlink r:id="rId14" w:history="1">
        <w:r w:rsidR="009F1398" w:rsidRPr="009F1398">
          <w:rPr>
            <w:rStyle w:val="Hipervnculo"/>
            <w:rFonts w:ascii="Tahoma" w:hAnsi="Tahoma" w:cs="Tahoma"/>
          </w:rPr>
          <w:t>AQUÍ.</w:t>
        </w:r>
      </w:hyperlink>
      <w:r>
        <w:rPr>
          <w:rFonts w:ascii="Tahoma" w:hAnsi="Tahoma" w:cs="Tahoma"/>
        </w:rPr>
        <w:t xml:space="preserve"> </w:t>
      </w:r>
    </w:p>
    <w:sectPr w:rsidR="00FF0402" w:rsidRPr="00BF1A46" w:rsidSect="0093134E">
      <w:headerReference w:type="default" r:id="rId15"/>
      <w:pgSz w:w="11906" w:h="16838"/>
      <w:pgMar w:top="1440" w:right="1080" w:bottom="1440" w:left="108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BF3E" w14:textId="77777777" w:rsidR="00FB3AF6" w:rsidRDefault="00FB3AF6">
      <w:pPr>
        <w:spacing w:after="0" w:line="240" w:lineRule="auto"/>
      </w:pPr>
      <w:r>
        <w:separator/>
      </w:r>
    </w:p>
  </w:endnote>
  <w:endnote w:type="continuationSeparator" w:id="0">
    <w:p w14:paraId="0AF4B181" w14:textId="77777777" w:rsidR="00FB3AF6" w:rsidRDefault="00FB3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56DF" w14:textId="77777777" w:rsidR="00FB3AF6" w:rsidRDefault="00FB3AF6">
      <w:pPr>
        <w:spacing w:after="0" w:line="240" w:lineRule="auto"/>
      </w:pPr>
      <w:r>
        <w:rPr>
          <w:color w:val="000000"/>
        </w:rPr>
        <w:separator/>
      </w:r>
    </w:p>
  </w:footnote>
  <w:footnote w:type="continuationSeparator" w:id="0">
    <w:p w14:paraId="74BE9F11" w14:textId="77777777" w:rsidR="00FB3AF6" w:rsidRDefault="00FB3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1563F" w14:textId="77777777" w:rsidR="008D3E9F" w:rsidRPr="0093134E" w:rsidRDefault="00480BB0">
    <w:pPr>
      <w:pStyle w:val="Encabezado"/>
      <w:ind w:left="-851"/>
      <w:jc w:val="both"/>
      <w:rPr>
        <w:b/>
      </w:rPr>
    </w:pPr>
    <w:r w:rsidRPr="0093134E">
      <w:rPr>
        <w:b/>
        <w:noProof/>
        <w:lang w:eastAsia="es-ES"/>
      </w:rPr>
      <w:drawing>
        <wp:anchor distT="0" distB="0" distL="114300" distR="114300" simplePos="0" relativeHeight="251659264" behindDoc="0" locked="0" layoutInCell="1" allowOverlap="1" wp14:anchorId="6CA2FBE7" wp14:editId="43A6ADE0">
          <wp:simplePos x="0" y="0"/>
          <wp:positionH relativeFrom="margin">
            <wp:posOffset>4471850</wp:posOffset>
          </wp:positionH>
          <wp:positionV relativeFrom="paragraph">
            <wp:posOffset>-257829</wp:posOffset>
          </wp:positionV>
          <wp:extent cx="2101218" cy="1485269"/>
          <wp:effectExtent l="0" t="0" r="0" b="631"/>
          <wp:wrapSquare wrapText="bothSides"/>
          <wp:docPr id="1" name="Imagen 19" descr="\\Server-datos\dptos\ASOCIACIONES\RESPONSABLE DEPTO ASOCIACIONES\EVELIN EQUIPO GESTION\OBSERVATORIO IGUALDAD\DISEÑO\LOGOS\LOGOTIPOS OBSERVATORIO\LOGOTIPO-OBSERVATORIO-COLOR .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101218" cy="1485269"/>
                  </a:xfrm>
                  <a:prstGeom prst="rect">
                    <a:avLst/>
                  </a:prstGeom>
                  <a:noFill/>
                  <a:ln>
                    <a:noFill/>
                    <a:prstDash/>
                  </a:ln>
                </pic:spPr>
              </pic:pic>
            </a:graphicData>
          </a:graphic>
        </wp:anchor>
      </w:drawing>
    </w:r>
    <w:r w:rsidRPr="0093134E">
      <w:rPr>
        <w:b/>
        <w:sz w:val="28"/>
        <w:szCs w:val="28"/>
      </w:rPr>
      <w:t xml:space="preserve">       NOTA DE PRENSA</w:t>
    </w:r>
  </w:p>
  <w:p w14:paraId="68066B5A" w14:textId="77777777" w:rsidR="008D3E9F" w:rsidRDefault="00480BB0" w:rsidP="0093134E">
    <w:pPr>
      <w:pStyle w:val="Encabezado"/>
    </w:pPr>
    <w:r>
      <w:rPr>
        <w:noProof/>
        <w:lang w:eastAsia="es-ES"/>
      </w:rPr>
      <w:drawing>
        <wp:anchor distT="0" distB="0" distL="114300" distR="114300" simplePos="0" relativeHeight="251660288" behindDoc="0" locked="0" layoutInCell="1" allowOverlap="1" wp14:anchorId="6C694603" wp14:editId="1DAFC08D">
          <wp:simplePos x="0" y="0"/>
          <wp:positionH relativeFrom="column">
            <wp:posOffset>278755</wp:posOffset>
          </wp:positionH>
          <wp:positionV relativeFrom="paragraph">
            <wp:posOffset>244484</wp:posOffset>
          </wp:positionV>
          <wp:extent cx="4528181" cy="477517"/>
          <wp:effectExtent l="0" t="0" r="5719" b="0"/>
          <wp:wrapSquare wrapText="bothSides"/>
          <wp:docPr id="2" name="Imagen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28181" cy="477517"/>
                  </a:xfrm>
                  <a:prstGeom prst="rect">
                    <a:avLst/>
                  </a:prstGeom>
                  <a:noFill/>
                  <a:ln>
                    <a:noFill/>
                    <a:prstDash/>
                  </a:ln>
                </pic:spPr>
              </pic:pic>
            </a:graphicData>
          </a:graphic>
        </wp:anchor>
      </w:drawing>
    </w:r>
  </w:p>
  <w:p w14:paraId="59514BF0" w14:textId="77777777" w:rsidR="0093134E" w:rsidRDefault="0093134E" w:rsidP="009313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35.25pt;height:42pt" o:bullet="t">
        <v:imagedata r:id="rId1" o:title="punto"/>
      </v:shape>
    </w:pict>
  </w:numPicBullet>
  <w:abstractNum w:abstractNumId="0" w15:restartNumberingAfterBreak="0">
    <w:nsid w:val="08246BC6"/>
    <w:multiLevelType w:val="hybridMultilevel"/>
    <w:tmpl w:val="A6BC0D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F20BA2"/>
    <w:multiLevelType w:val="hybridMultilevel"/>
    <w:tmpl w:val="D0140F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CED0958"/>
    <w:multiLevelType w:val="hybridMultilevel"/>
    <w:tmpl w:val="C188FD98"/>
    <w:lvl w:ilvl="0" w:tplc="0C0A000D">
      <w:start w:val="1"/>
      <w:numFmt w:val="bullet"/>
      <w:lvlText w:val=""/>
      <w:lvlJc w:val="left"/>
      <w:pPr>
        <w:ind w:left="1440" w:hanging="360"/>
      </w:pPr>
      <w:rPr>
        <w:rFonts w:ascii="Wingdings" w:hAnsi="Wingdings" w:hint="default"/>
        <w:color w:val="auto"/>
        <w:sz w:val="36"/>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70728B"/>
    <w:multiLevelType w:val="hybridMultilevel"/>
    <w:tmpl w:val="67FA5830"/>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26B4B5C"/>
    <w:multiLevelType w:val="hybridMultilevel"/>
    <w:tmpl w:val="83A6FBC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1C50648A"/>
    <w:multiLevelType w:val="hybridMultilevel"/>
    <w:tmpl w:val="824AFAA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DD63F14"/>
    <w:multiLevelType w:val="hybridMultilevel"/>
    <w:tmpl w:val="5792D52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A367CC"/>
    <w:multiLevelType w:val="hybridMultilevel"/>
    <w:tmpl w:val="A8CC44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F8516E"/>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4D5DD6"/>
    <w:multiLevelType w:val="hybridMultilevel"/>
    <w:tmpl w:val="4268F7C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33894513"/>
    <w:multiLevelType w:val="hybridMultilevel"/>
    <w:tmpl w:val="F83847CE"/>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 w15:restartNumberingAfterBreak="0">
    <w:nsid w:val="3E841875"/>
    <w:multiLevelType w:val="hybridMultilevel"/>
    <w:tmpl w:val="1062FF9C"/>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15:restartNumberingAfterBreak="0">
    <w:nsid w:val="40D74635"/>
    <w:multiLevelType w:val="hybridMultilevel"/>
    <w:tmpl w:val="29E248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35271AE"/>
    <w:multiLevelType w:val="hybridMultilevel"/>
    <w:tmpl w:val="FA120822"/>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483145ED"/>
    <w:multiLevelType w:val="hybridMultilevel"/>
    <w:tmpl w:val="9CF022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6A5514"/>
    <w:multiLevelType w:val="hybridMultilevel"/>
    <w:tmpl w:val="4AE6EFE2"/>
    <w:lvl w:ilvl="0" w:tplc="0C0A000D">
      <w:start w:val="1"/>
      <w:numFmt w:val="bullet"/>
      <w:lvlText w:val=""/>
      <w:lvlJc w:val="left"/>
      <w:pPr>
        <w:ind w:left="1800" w:hanging="360"/>
      </w:pPr>
      <w:rPr>
        <w:rFonts w:ascii="Wingdings" w:hAnsi="Wingdings"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6" w15:restartNumberingAfterBreak="0">
    <w:nsid w:val="569A251B"/>
    <w:multiLevelType w:val="hybridMultilevel"/>
    <w:tmpl w:val="581EFA44"/>
    <w:lvl w:ilvl="0" w:tplc="95A69506">
      <w:start w:val="1"/>
      <w:numFmt w:val="bullet"/>
      <w:lvlText w:val=""/>
      <w:lvlPicBulletId w:val="0"/>
      <w:lvlJc w:val="left"/>
      <w:pPr>
        <w:ind w:left="1440" w:hanging="360"/>
      </w:pPr>
      <w:rPr>
        <w:rFonts w:ascii="Symbol" w:hAnsi="Symbol" w:hint="default"/>
        <w:color w:val="auto"/>
        <w:sz w:val="36"/>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A8D17B3"/>
    <w:multiLevelType w:val="hybridMultilevel"/>
    <w:tmpl w:val="D944ABA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7DA6D02"/>
    <w:multiLevelType w:val="multilevel"/>
    <w:tmpl w:val="529205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A4A584D"/>
    <w:multiLevelType w:val="hybridMultilevel"/>
    <w:tmpl w:val="73227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F50243D"/>
    <w:multiLevelType w:val="hybridMultilevel"/>
    <w:tmpl w:val="C9B82C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A543EFF"/>
    <w:multiLevelType w:val="hybridMultilevel"/>
    <w:tmpl w:val="EB48B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08359362">
    <w:abstractNumId w:val="8"/>
  </w:num>
  <w:num w:numId="2" w16cid:durableId="1984195690">
    <w:abstractNumId w:val="12"/>
  </w:num>
  <w:num w:numId="3" w16cid:durableId="87627270">
    <w:abstractNumId w:val="1"/>
  </w:num>
  <w:num w:numId="4" w16cid:durableId="1058552230">
    <w:abstractNumId w:val="9"/>
  </w:num>
  <w:num w:numId="5" w16cid:durableId="1255821922">
    <w:abstractNumId w:val="4"/>
  </w:num>
  <w:num w:numId="6" w16cid:durableId="763379834">
    <w:abstractNumId w:val="16"/>
  </w:num>
  <w:num w:numId="7" w16cid:durableId="865102170">
    <w:abstractNumId w:val="11"/>
  </w:num>
  <w:num w:numId="8" w16cid:durableId="828910546">
    <w:abstractNumId w:val="13"/>
  </w:num>
  <w:num w:numId="9" w16cid:durableId="796028794">
    <w:abstractNumId w:val="18"/>
  </w:num>
  <w:num w:numId="10" w16cid:durableId="1261991575">
    <w:abstractNumId w:val="3"/>
  </w:num>
  <w:num w:numId="11" w16cid:durableId="1229879492">
    <w:abstractNumId w:val="2"/>
  </w:num>
  <w:num w:numId="12" w16cid:durableId="2127431336">
    <w:abstractNumId w:val="10"/>
  </w:num>
  <w:num w:numId="13" w16cid:durableId="1660620148">
    <w:abstractNumId w:val="17"/>
  </w:num>
  <w:num w:numId="14" w16cid:durableId="943611564">
    <w:abstractNumId w:val="15"/>
  </w:num>
  <w:num w:numId="15" w16cid:durableId="1147823746">
    <w:abstractNumId w:val="6"/>
  </w:num>
  <w:num w:numId="16" w16cid:durableId="1386833780">
    <w:abstractNumId w:val="14"/>
  </w:num>
  <w:num w:numId="17" w16cid:durableId="240525969">
    <w:abstractNumId w:val="20"/>
  </w:num>
  <w:num w:numId="18" w16cid:durableId="893469808">
    <w:abstractNumId w:val="5"/>
  </w:num>
  <w:num w:numId="19" w16cid:durableId="1857233966">
    <w:abstractNumId w:val="0"/>
  </w:num>
  <w:num w:numId="20" w16cid:durableId="1979071464">
    <w:abstractNumId w:val="19"/>
  </w:num>
  <w:num w:numId="21" w16cid:durableId="2066565415">
    <w:abstractNumId w:val="7"/>
  </w:num>
  <w:num w:numId="22" w16cid:durableId="214122189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02"/>
    <w:rsid w:val="000865B3"/>
    <w:rsid w:val="00092471"/>
    <w:rsid w:val="000C1838"/>
    <w:rsid w:val="000C26B8"/>
    <w:rsid w:val="000D19BD"/>
    <w:rsid w:val="000E38B3"/>
    <w:rsid w:val="000E6C68"/>
    <w:rsid w:val="00113DC9"/>
    <w:rsid w:val="0012465A"/>
    <w:rsid w:val="001624B0"/>
    <w:rsid w:val="001A4D22"/>
    <w:rsid w:val="00210188"/>
    <w:rsid w:val="002155F5"/>
    <w:rsid w:val="002905F7"/>
    <w:rsid w:val="00291FB2"/>
    <w:rsid w:val="00296A85"/>
    <w:rsid w:val="002D4108"/>
    <w:rsid w:val="003140BE"/>
    <w:rsid w:val="003350FD"/>
    <w:rsid w:val="00377E46"/>
    <w:rsid w:val="003A0A19"/>
    <w:rsid w:val="003B41E3"/>
    <w:rsid w:val="003C128E"/>
    <w:rsid w:val="003E0BF1"/>
    <w:rsid w:val="003F3826"/>
    <w:rsid w:val="00412A0D"/>
    <w:rsid w:val="00417231"/>
    <w:rsid w:val="004217DC"/>
    <w:rsid w:val="0046471C"/>
    <w:rsid w:val="00476273"/>
    <w:rsid w:val="00480BB0"/>
    <w:rsid w:val="004F5A11"/>
    <w:rsid w:val="00500FD8"/>
    <w:rsid w:val="0050605D"/>
    <w:rsid w:val="005A169D"/>
    <w:rsid w:val="005E459F"/>
    <w:rsid w:val="005E657A"/>
    <w:rsid w:val="00647962"/>
    <w:rsid w:val="006525A1"/>
    <w:rsid w:val="00660FCA"/>
    <w:rsid w:val="00666473"/>
    <w:rsid w:val="006960E2"/>
    <w:rsid w:val="006A42CB"/>
    <w:rsid w:val="006C5803"/>
    <w:rsid w:val="006F0682"/>
    <w:rsid w:val="007B0582"/>
    <w:rsid w:val="00805F4A"/>
    <w:rsid w:val="00886B62"/>
    <w:rsid w:val="008A408A"/>
    <w:rsid w:val="009121A3"/>
    <w:rsid w:val="0093134E"/>
    <w:rsid w:val="00944474"/>
    <w:rsid w:val="009F1398"/>
    <w:rsid w:val="00AC39D1"/>
    <w:rsid w:val="00AF13DD"/>
    <w:rsid w:val="00B70DF7"/>
    <w:rsid w:val="00BB1CD3"/>
    <w:rsid w:val="00BF1A46"/>
    <w:rsid w:val="00C55356"/>
    <w:rsid w:val="00C927FC"/>
    <w:rsid w:val="00CC6244"/>
    <w:rsid w:val="00D25919"/>
    <w:rsid w:val="00D56ADD"/>
    <w:rsid w:val="00D703F5"/>
    <w:rsid w:val="00D73EB8"/>
    <w:rsid w:val="00DB63F2"/>
    <w:rsid w:val="00DD2D90"/>
    <w:rsid w:val="00DD6F76"/>
    <w:rsid w:val="00DE5423"/>
    <w:rsid w:val="00E3469E"/>
    <w:rsid w:val="00E80231"/>
    <w:rsid w:val="00E92CA2"/>
    <w:rsid w:val="00ED5DDC"/>
    <w:rsid w:val="00EF55C3"/>
    <w:rsid w:val="00EF65C6"/>
    <w:rsid w:val="00F162EA"/>
    <w:rsid w:val="00F77700"/>
    <w:rsid w:val="00F804CB"/>
    <w:rsid w:val="00F821A4"/>
    <w:rsid w:val="00FA0128"/>
    <w:rsid w:val="00FB26AD"/>
    <w:rsid w:val="00FB3AF6"/>
    <w:rsid w:val="00FF04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8CD48"/>
  <w15:docId w15:val="{9137EB5F-34F8-4275-98C3-F7E42F221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pPr>
      <w:ind w:left="720"/>
    </w:p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paragraph" w:styleId="Textoindependiente">
    <w:name w:val="Body Text"/>
    <w:basedOn w:val="Normal"/>
    <w:pPr>
      <w:spacing w:after="140" w:line="288" w:lineRule="auto"/>
      <w:textAlignment w:val="auto"/>
    </w:pPr>
    <w:rPr>
      <w:rFonts w:ascii="Liberation Serif" w:eastAsia="SimSun" w:hAnsi="Liberation Serif" w:cs="Mangal"/>
      <w:kern w:val="3"/>
      <w:sz w:val="24"/>
      <w:szCs w:val="24"/>
      <w:lang w:eastAsia="zh-CN" w:bidi="hi-IN"/>
    </w:rPr>
  </w:style>
  <w:style w:type="character" w:customStyle="1" w:styleId="TextoindependienteCar">
    <w:name w:val="Texto independiente Car"/>
    <w:basedOn w:val="Fuentedeprrafopredeter"/>
    <w:rPr>
      <w:rFonts w:ascii="Liberation Serif" w:eastAsia="SimSun" w:hAnsi="Liberation Serif" w:cs="Mangal"/>
      <w:kern w:val="3"/>
      <w:sz w:val="24"/>
      <w:szCs w:val="24"/>
      <w:lang w:eastAsia="zh-CN" w:bidi="hi-IN"/>
    </w:rPr>
  </w:style>
  <w:style w:type="character" w:styleId="Hipervnculovisitado">
    <w:name w:val="FollowedHyperlink"/>
    <w:basedOn w:val="Fuentedeprrafopredeter"/>
    <w:uiPriority w:val="99"/>
    <w:semiHidden/>
    <w:unhideWhenUsed/>
    <w:rsid w:val="0093134E"/>
    <w:rPr>
      <w:color w:val="954F72" w:themeColor="followedHyperlink"/>
      <w:u w:val="single"/>
    </w:rPr>
  </w:style>
  <w:style w:type="character" w:styleId="nfasis">
    <w:name w:val="Emphasis"/>
    <w:basedOn w:val="Fuentedeprrafopredeter"/>
    <w:uiPriority w:val="20"/>
    <w:qFormat/>
    <w:rsid w:val="00E802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55082">
      <w:bodyDiv w:val="1"/>
      <w:marLeft w:val="0"/>
      <w:marRight w:val="0"/>
      <w:marTop w:val="0"/>
      <w:marBottom w:val="0"/>
      <w:divBdr>
        <w:top w:val="none" w:sz="0" w:space="0" w:color="auto"/>
        <w:left w:val="none" w:sz="0" w:space="0" w:color="auto"/>
        <w:bottom w:val="none" w:sz="0" w:space="0" w:color="auto"/>
        <w:right w:val="none" w:sz="0" w:space="0" w:color="auto"/>
      </w:divBdr>
      <w:divsChild>
        <w:div w:id="104424318">
          <w:marLeft w:val="720"/>
          <w:marRight w:val="0"/>
          <w:marTop w:val="0"/>
          <w:marBottom w:val="0"/>
          <w:divBdr>
            <w:top w:val="none" w:sz="0" w:space="0" w:color="auto"/>
            <w:left w:val="none" w:sz="0" w:space="0" w:color="auto"/>
            <w:bottom w:val="none" w:sz="0" w:space="0" w:color="auto"/>
            <w:right w:val="none" w:sz="0" w:space="0" w:color="auto"/>
          </w:divBdr>
        </w:div>
      </w:divsChild>
    </w:div>
    <w:div w:id="322202943">
      <w:bodyDiv w:val="1"/>
      <w:marLeft w:val="0"/>
      <w:marRight w:val="0"/>
      <w:marTop w:val="0"/>
      <w:marBottom w:val="0"/>
      <w:divBdr>
        <w:top w:val="none" w:sz="0" w:space="0" w:color="auto"/>
        <w:left w:val="none" w:sz="0" w:space="0" w:color="auto"/>
        <w:bottom w:val="none" w:sz="0" w:space="0" w:color="auto"/>
        <w:right w:val="none" w:sz="0" w:space="0" w:color="auto"/>
      </w:divBdr>
      <w:divsChild>
        <w:div w:id="1588684984">
          <w:marLeft w:val="720"/>
          <w:marRight w:val="0"/>
          <w:marTop w:val="0"/>
          <w:marBottom w:val="0"/>
          <w:divBdr>
            <w:top w:val="none" w:sz="0" w:space="0" w:color="auto"/>
            <w:left w:val="none" w:sz="0" w:space="0" w:color="auto"/>
            <w:bottom w:val="none" w:sz="0" w:space="0" w:color="auto"/>
            <w:right w:val="none" w:sz="0" w:space="0" w:color="auto"/>
          </w:divBdr>
        </w:div>
      </w:divsChild>
    </w:div>
    <w:div w:id="577521547">
      <w:bodyDiv w:val="1"/>
      <w:marLeft w:val="0"/>
      <w:marRight w:val="0"/>
      <w:marTop w:val="0"/>
      <w:marBottom w:val="0"/>
      <w:divBdr>
        <w:top w:val="none" w:sz="0" w:space="0" w:color="auto"/>
        <w:left w:val="none" w:sz="0" w:space="0" w:color="auto"/>
        <w:bottom w:val="none" w:sz="0" w:space="0" w:color="auto"/>
        <w:right w:val="none" w:sz="0" w:space="0" w:color="auto"/>
      </w:divBdr>
      <w:divsChild>
        <w:div w:id="1580024130">
          <w:marLeft w:val="720"/>
          <w:marRight w:val="0"/>
          <w:marTop w:val="0"/>
          <w:marBottom w:val="0"/>
          <w:divBdr>
            <w:top w:val="none" w:sz="0" w:space="0" w:color="auto"/>
            <w:left w:val="none" w:sz="0" w:space="0" w:color="auto"/>
            <w:bottom w:val="none" w:sz="0" w:space="0" w:color="auto"/>
            <w:right w:val="none" w:sz="0" w:space="0" w:color="auto"/>
          </w:divBdr>
        </w:div>
      </w:divsChild>
    </w:div>
    <w:div w:id="729839873">
      <w:bodyDiv w:val="1"/>
      <w:marLeft w:val="0"/>
      <w:marRight w:val="0"/>
      <w:marTop w:val="0"/>
      <w:marBottom w:val="0"/>
      <w:divBdr>
        <w:top w:val="none" w:sz="0" w:space="0" w:color="auto"/>
        <w:left w:val="none" w:sz="0" w:space="0" w:color="auto"/>
        <w:bottom w:val="none" w:sz="0" w:space="0" w:color="auto"/>
        <w:right w:val="none" w:sz="0" w:space="0" w:color="auto"/>
      </w:divBdr>
    </w:div>
    <w:div w:id="876352741">
      <w:bodyDiv w:val="1"/>
      <w:marLeft w:val="0"/>
      <w:marRight w:val="0"/>
      <w:marTop w:val="0"/>
      <w:marBottom w:val="0"/>
      <w:divBdr>
        <w:top w:val="none" w:sz="0" w:space="0" w:color="auto"/>
        <w:left w:val="none" w:sz="0" w:space="0" w:color="auto"/>
        <w:bottom w:val="none" w:sz="0" w:space="0" w:color="auto"/>
        <w:right w:val="none" w:sz="0" w:space="0" w:color="auto"/>
      </w:divBdr>
    </w:div>
    <w:div w:id="1583107034">
      <w:bodyDiv w:val="1"/>
      <w:marLeft w:val="0"/>
      <w:marRight w:val="0"/>
      <w:marTop w:val="0"/>
      <w:marBottom w:val="0"/>
      <w:divBdr>
        <w:top w:val="none" w:sz="0" w:space="0" w:color="auto"/>
        <w:left w:val="none" w:sz="0" w:space="0" w:color="auto"/>
        <w:bottom w:val="none" w:sz="0" w:space="0" w:color="auto"/>
        <w:right w:val="none" w:sz="0" w:space="0" w:color="auto"/>
      </w:divBdr>
      <w:divsChild>
        <w:div w:id="751896322">
          <w:marLeft w:val="720"/>
          <w:marRight w:val="0"/>
          <w:marTop w:val="0"/>
          <w:marBottom w:val="0"/>
          <w:divBdr>
            <w:top w:val="none" w:sz="0" w:space="0" w:color="auto"/>
            <w:left w:val="none" w:sz="0" w:space="0" w:color="auto"/>
            <w:bottom w:val="none" w:sz="0" w:space="0" w:color="auto"/>
            <w:right w:val="none" w:sz="0" w:space="0" w:color="auto"/>
          </w:divBdr>
        </w:div>
      </w:divsChild>
    </w:div>
    <w:div w:id="1895039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tillalamancha.ccoo.es/Albacete/Sedes_y_Asesorias" TargetMode="External"/><Relationship Id="rId13" Type="http://schemas.openxmlformats.org/officeDocument/2006/relationships/hyperlink" Target="http://www.albacete.es/es/webs-municipales/mujer-igualdad-familia/igualdad" TargetMode="External"/><Relationship Id="rId3" Type="http://schemas.openxmlformats.org/officeDocument/2006/relationships/settings" Target="settings.xml"/><Relationship Id="rId7" Type="http://schemas.openxmlformats.org/officeDocument/2006/relationships/hyperlink" Target="https://www.opialbacete.es/" TargetMode="External"/><Relationship Id="rId12" Type="http://schemas.openxmlformats.org/officeDocument/2006/relationships/hyperlink" Target="http://igualdad.dipualba.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stillalamancha.es/gobierno/igualdadyportavoz/estructura/dpiguyporab/funcionesycompetencias/funciones-y-competencias-de-la-delegaci&#243;n-provincial-consejer&#237;a-de-igualdad-y-portavoz-en-albacet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feda.es/valor-anadido/responsabilidad-social-empresarial/plan-de-igualdad/plan-de-igualdad-en-la-prensa" TargetMode="External"/><Relationship Id="rId4" Type="http://schemas.openxmlformats.org/officeDocument/2006/relationships/webSettings" Target="webSettings.xml"/><Relationship Id="rId9" Type="http://schemas.openxmlformats.org/officeDocument/2006/relationships/hyperlink" Target="https://www.ugt.es/sedes/Castilla-La%20Mancha" TargetMode="External"/><Relationship Id="rId14" Type="http://schemas.openxmlformats.org/officeDocument/2006/relationships/hyperlink" Target="https://www.opialbacete.es/resultad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1373</Words>
  <Characters>7556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dc:creator>
  <dc:description/>
  <cp:lastModifiedBy>creativo</cp:lastModifiedBy>
  <cp:revision>15</cp:revision>
  <dcterms:created xsi:type="dcterms:W3CDTF">2023-02-09T16:24:00Z</dcterms:created>
  <dcterms:modified xsi:type="dcterms:W3CDTF">2023-02-14T10:54:00Z</dcterms:modified>
</cp:coreProperties>
</file>