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8FE" w:rsidRDefault="008858FE" w:rsidP="00A31FCB">
      <w:pPr>
        <w:jc w:val="right"/>
        <w:textAlignment w:val="baseline"/>
        <w:rPr>
          <w:rFonts w:ascii="Tahoma" w:hAnsi="Tahoma" w:cs="Tahoma"/>
          <w:bCs/>
          <w:color w:val="000000"/>
          <w:sz w:val="22"/>
          <w:szCs w:val="22"/>
          <w:bdr w:val="none" w:sz="0" w:space="0" w:color="auto" w:frame="1"/>
          <w:lang w:val="es-ES"/>
        </w:rPr>
      </w:pPr>
    </w:p>
    <w:p w:rsidR="00D74BD0" w:rsidRDefault="00D74BD0" w:rsidP="00A31FCB">
      <w:pPr>
        <w:jc w:val="right"/>
        <w:textAlignment w:val="baseline"/>
        <w:rPr>
          <w:rFonts w:ascii="Tahoma" w:hAnsi="Tahoma" w:cs="Tahoma"/>
          <w:bCs/>
          <w:color w:val="000000"/>
          <w:sz w:val="22"/>
          <w:szCs w:val="22"/>
          <w:bdr w:val="none" w:sz="0" w:space="0" w:color="auto" w:frame="1"/>
          <w:lang w:val="es-ES"/>
        </w:rPr>
      </w:pPr>
    </w:p>
    <w:p w:rsidR="0002158F" w:rsidRDefault="001231E4" w:rsidP="00EF5E87">
      <w:pPr>
        <w:pStyle w:val="Textoindependiente3"/>
        <w:ind w:left="-142"/>
        <w:jc w:val="right"/>
        <w:rPr>
          <w:rFonts w:ascii="Tahoma" w:hAnsi="Tahoma" w:cs="Tahoma"/>
          <w:b w:val="0"/>
          <w:sz w:val="22"/>
          <w:szCs w:val="22"/>
        </w:rPr>
      </w:pPr>
      <w:r>
        <w:rPr>
          <w:rFonts w:ascii="Tahoma" w:hAnsi="Tahoma" w:cs="Tahoma"/>
          <w:b w:val="0"/>
          <w:sz w:val="22"/>
          <w:szCs w:val="22"/>
        </w:rPr>
        <w:t>Albacete, 13</w:t>
      </w:r>
      <w:r w:rsidR="00EA71CA">
        <w:rPr>
          <w:rFonts w:ascii="Tahoma" w:hAnsi="Tahoma" w:cs="Tahoma"/>
          <w:b w:val="0"/>
          <w:sz w:val="22"/>
          <w:szCs w:val="22"/>
        </w:rPr>
        <w:t xml:space="preserve"> de marzo</w:t>
      </w:r>
      <w:r w:rsidR="0002158F">
        <w:rPr>
          <w:rFonts w:ascii="Tahoma" w:hAnsi="Tahoma" w:cs="Tahoma"/>
          <w:b w:val="0"/>
          <w:sz w:val="22"/>
          <w:szCs w:val="22"/>
        </w:rPr>
        <w:t xml:space="preserve"> de 2023</w:t>
      </w:r>
    </w:p>
    <w:p w:rsidR="009600DE" w:rsidRDefault="009600DE" w:rsidP="00EF5E87">
      <w:pPr>
        <w:pStyle w:val="Textoindependiente3"/>
        <w:ind w:left="-142"/>
        <w:jc w:val="right"/>
        <w:rPr>
          <w:rFonts w:ascii="Tahoma" w:hAnsi="Tahoma" w:cs="Tahoma"/>
          <w:b w:val="0"/>
          <w:sz w:val="22"/>
          <w:szCs w:val="22"/>
        </w:rPr>
      </w:pPr>
    </w:p>
    <w:p w:rsidR="009600DE" w:rsidRDefault="009600DE" w:rsidP="00EF5E87">
      <w:pPr>
        <w:pStyle w:val="Textoindependiente3"/>
        <w:ind w:left="-142"/>
        <w:jc w:val="right"/>
        <w:rPr>
          <w:rFonts w:ascii="Tahoma" w:hAnsi="Tahoma" w:cs="Tahoma"/>
          <w:b w:val="0"/>
          <w:sz w:val="22"/>
          <w:szCs w:val="22"/>
        </w:rPr>
      </w:pPr>
    </w:p>
    <w:p w:rsidR="00EA71CA" w:rsidRDefault="00332961" w:rsidP="00332961">
      <w:pPr>
        <w:pStyle w:val="Textoindependiente3"/>
        <w:jc w:val="center"/>
        <w:rPr>
          <w:rFonts w:ascii="Tahoma" w:hAnsi="Tahoma" w:cs="Tahoma"/>
          <w:sz w:val="32"/>
          <w:szCs w:val="32"/>
        </w:rPr>
      </w:pPr>
      <w:r>
        <w:rPr>
          <w:rFonts w:ascii="Tahoma" w:hAnsi="Tahoma" w:cs="Tahoma"/>
          <w:sz w:val="32"/>
          <w:szCs w:val="32"/>
        </w:rPr>
        <w:t>El director general de Consumo analiza con la Plataforma por la Legalidad FEDA coordinar actuaciones para erradicar las prácticas comerciales desleales</w:t>
      </w:r>
    </w:p>
    <w:p w:rsidR="00332961" w:rsidRDefault="00332961" w:rsidP="00332961">
      <w:pPr>
        <w:pStyle w:val="Textoindependiente3"/>
        <w:jc w:val="center"/>
        <w:rPr>
          <w:rFonts w:ascii="Tahoma" w:hAnsi="Tahoma" w:cs="Tahoma"/>
          <w:sz w:val="32"/>
          <w:szCs w:val="32"/>
        </w:rPr>
      </w:pPr>
    </w:p>
    <w:p w:rsidR="00332961" w:rsidRPr="00332961" w:rsidRDefault="00332961" w:rsidP="00332961">
      <w:pPr>
        <w:pStyle w:val="Textoindependiente3"/>
        <w:numPr>
          <w:ilvl w:val="0"/>
          <w:numId w:val="49"/>
        </w:numPr>
        <w:jc w:val="center"/>
        <w:rPr>
          <w:rFonts w:ascii="Tahoma" w:hAnsi="Tahoma" w:cs="Tahoma"/>
          <w:sz w:val="22"/>
          <w:szCs w:val="22"/>
        </w:rPr>
      </w:pPr>
      <w:r w:rsidRPr="00332961">
        <w:rPr>
          <w:rFonts w:ascii="Tahoma" w:hAnsi="Tahoma" w:cs="Tahoma"/>
          <w:sz w:val="22"/>
          <w:szCs w:val="22"/>
        </w:rPr>
        <w:t>La reunión con Ramón Lara ha sido motivada por la incongruencia manifestada de campañas publicitarias del “Día sin IVA”</w:t>
      </w:r>
    </w:p>
    <w:p w:rsidR="00332961" w:rsidRDefault="00332961" w:rsidP="00332961">
      <w:pPr>
        <w:pStyle w:val="Textoindependiente3"/>
        <w:jc w:val="center"/>
        <w:rPr>
          <w:rFonts w:ascii="Tahoma" w:hAnsi="Tahoma" w:cs="Tahoma"/>
          <w:sz w:val="32"/>
          <w:szCs w:val="32"/>
        </w:rPr>
      </w:pPr>
    </w:p>
    <w:p w:rsidR="00636031" w:rsidRDefault="00636031" w:rsidP="00636031">
      <w:pPr>
        <w:pStyle w:val="Textoindependiente3"/>
        <w:rPr>
          <w:rFonts w:ascii="Tahoma" w:hAnsi="Tahoma" w:cs="Tahoma"/>
          <w:b w:val="0"/>
          <w:sz w:val="22"/>
          <w:szCs w:val="22"/>
        </w:rPr>
      </w:pPr>
    </w:p>
    <w:p w:rsidR="00636031" w:rsidRDefault="00636031" w:rsidP="00636031">
      <w:pPr>
        <w:pStyle w:val="Textoindependiente3"/>
        <w:rPr>
          <w:rFonts w:ascii="Tahoma" w:hAnsi="Tahoma" w:cs="Tahoma"/>
          <w:b w:val="0"/>
          <w:sz w:val="22"/>
          <w:szCs w:val="22"/>
        </w:rPr>
      </w:pPr>
    </w:p>
    <w:p w:rsidR="00636031" w:rsidRDefault="00636031" w:rsidP="00636031">
      <w:pPr>
        <w:pStyle w:val="Textoindependiente3"/>
        <w:rPr>
          <w:rFonts w:ascii="Tahoma" w:eastAsiaTheme="minorHAnsi" w:hAnsi="Tahoma" w:cs="Tahoma"/>
          <w:b w:val="0"/>
          <w:sz w:val="22"/>
          <w:szCs w:val="22"/>
          <w:lang w:val="es-ES" w:eastAsia="en-US"/>
        </w:rPr>
      </w:pPr>
      <w:r>
        <w:rPr>
          <w:rFonts w:ascii="Tahoma" w:hAnsi="Tahoma" w:cs="Tahoma"/>
          <w:b w:val="0"/>
          <w:sz w:val="22"/>
          <w:szCs w:val="22"/>
        </w:rPr>
        <w:t xml:space="preserve">Presidentes de asociaciones sectoriales que forman parte de la </w:t>
      </w:r>
      <w:hyperlink r:id="rId8" w:history="1">
        <w:r w:rsidR="00A87EB1" w:rsidRPr="00A87EB1">
          <w:rPr>
            <w:rStyle w:val="Hipervnculo"/>
            <w:rFonts w:ascii="Tahoma" w:eastAsiaTheme="minorHAnsi" w:hAnsi="Tahoma" w:cs="Tahoma"/>
            <w:b w:val="0"/>
            <w:sz w:val="22"/>
            <w:szCs w:val="22"/>
            <w:lang w:val="es-ES" w:eastAsia="en-US"/>
          </w:rPr>
          <w:t>Plataforma por la</w:t>
        </w:r>
        <w:r w:rsidR="00A87EB1" w:rsidRPr="009A4A91">
          <w:rPr>
            <w:rStyle w:val="Hipervnculo"/>
            <w:rFonts w:ascii="Tahoma" w:eastAsiaTheme="minorHAnsi" w:hAnsi="Tahoma" w:cs="Tahoma"/>
            <w:sz w:val="22"/>
            <w:szCs w:val="22"/>
            <w:lang w:val="es-ES" w:eastAsia="en-US"/>
          </w:rPr>
          <w:t xml:space="preserve"> </w:t>
        </w:r>
        <w:r w:rsidR="00A87EB1" w:rsidRPr="00A87EB1">
          <w:rPr>
            <w:rStyle w:val="Hipervnculo"/>
            <w:rFonts w:ascii="Tahoma" w:eastAsiaTheme="minorHAnsi" w:hAnsi="Tahoma" w:cs="Tahoma"/>
            <w:b w:val="0"/>
            <w:sz w:val="22"/>
            <w:szCs w:val="22"/>
            <w:lang w:val="es-ES" w:eastAsia="en-US"/>
          </w:rPr>
          <w:t>Legalidad</w:t>
        </w:r>
      </w:hyperlink>
      <w:r w:rsidR="00A87EB1">
        <w:rPr>
          <w:rStyle w:val="Hipervnculo"/>
          <w:rFonts w:ascii="Tahoma" w:eastAsiaTheme="minorHAnsi" w:hAnsi="Tahoma" w:cs="Tahoma"/>
          <w:b w:val="0"/>
          <w:sz w:val="22"/>
          <w:szCs w:val="22"/>
          <w:lang w:val="es-ES" w:eastAsia="en-US"/>
        </w:rPr>
        <w:t xml:space="preserve">, </w:t>
      </w:r>
      <w:r w:rsidRPr="00A87EB1">
        <w:rPr>
          <w:rFonts w:ascii="Tahoma" w:hAnsi="Tahoma" w:cs="Tahoma"/>
          <w:b w:val="0"/>
          <w:sz w:val="22"/>
          <w:szCs w:val="22"/>
        </w:rPr>
        <w:t>liderada</w:t>
      </w:r>
      <w:r>
        <w:rPr>
          <w:rFonts w:ascii="Tahoma" w:hAnsi="Tahoma" w:cs="Tahoma"/>
          <w:b w:val="0"/>
          <w:sz w:val="22"/>
          <w:szCs w:val="22"/>
        </w:rPr>
        <w:t xml:space="preserve"> y coordinada por </w:t>
      </w:r>
      <w:hyperlink r:id="rId9" w:history="1">
        <w:r w:rsidRPr="00A87EB1">
          <w:rPr>
            <w:rStyle w:val="Hipervnculo"/>
            <w:rFonts w:ascii="Tahoma" w:hAnsi="Tahoma" w:cs="Tahoma"/>
            <w:b w:val="0"/>
            <w:sz w:val="22"/>
            <w:szCs w:val="22"/>
          </w:rPr>
          <w:t>FEDA</w:t>
        </w:r>
      </w:hyperlink>
      <w:r>
        <w:rPr>
          <w:rFonts w:ascii="Tahoma" w:hAnsi="Tahoma" w:cs="Tahoma"/>
          <w:b w:val="0"/>
          <w:sz w:val="22"/>
          <w:szCs w:val="22"/>
        </w:rPr>
        <w:t xml:space="preserve">, </w:t>
      </w:r>
      <w:r w:rsidR="000C2355">
        <w:rPr>
          <w:rFonts w:ascii="Tahoma" w:hAnsi="Tahoma" w:cs="Tahoma"/>
          <w:b w:val="0"/>
          <w:sz w:val="22"/>
          <w:szCs w:val="22"/>
        </w:rPr>
        <w:t xml:space="preserve">(creado en 2011, con 23 asociaciones) </w:t>
      </w:r>
      <w:bookmarkStart w:id="0" w:name="_GoBack"/>
      <w:bookmarkEnd w:id="0"/>
      <w:r>
        <w:rPr>
          <w:rFonts w:ascii="Tahoma" w:hAnsi="Tahoma" w:cs="Tahoma"/>
          <w:b w:val="0"/>
          <w:sz w:val="22"/>
          <w:szCs w:val="22"/>
        </w:rPr>
        <w:t xml:space="preserve">han mantenido una reunión en la sede de la Confederación con el director general de Agenda 2030 y Consumo del Gobierno regional, </w:t>
      </w:r>
      <w:r w:rsidR="003F31A0">
        <w:rPr>
          <w:rFonts w:ascii="Tahoma" w:hAnsi="Tahoma" w:cs="Tahoma"/>
          <w:b w:val="0"/>
          <w:sz w:val="22"/>
          <w:szCs w:val="22"/>
        </w:rPr>
        <w:t xml:space="preserve">Ramón Lara, </w:t>
      </w:r>
      <w:r>
        <w:rPr>
          <w:rFonts w:ascii="Tahoma" w:hAnsi="Tahoma" w:cs="Tahoma"/>
          <w:b w:val="0"/>
          <w:sz w:val="22"/>
          <w:szCs w:val="22"/>
        </w:rPr>
        <w:t xml:space="preserve">a raíz de la carta enviada manifestando </w:t>
      </w:r>
      <w:hyperlink r:id="rId10" w:history="1">
        <w:r w:rsidRPr="00A87EB1">
          <w:rPr>
            <w:rStyle w:val="Hipervnculo"/>
            <w:rFonts w:ascii="Tahoma" w:eastAsiaTheme="minorHAnsi" w:hAnsi="Tahoma" w:cs="Tahoma"/>
            <w:b w:val="0"/>
            <w:sz w:val="22"/>
            <w:szCs w:val="22"/>
            <w:lang w:val="es-ES" w:eastAsia="en-US"/>
          </w:rPr>
          <w:t>la incongruencia de campañas publicitarias del “Día sin IVA”</w:t>
        </w:r>
      </w:hyperlink>
      <w:r w:rsidRPr="00636031">
        <w:rPr>
          <w:rFonts w:ascii="Tahoma" w:eastAsiaTheme="minorHAnsi" w:hAnsi="Tahoma" w:cs="Tahoma"/>
          <w:b w:val="0"/>
          <w:sz w:val="22"/>
          <w:szCs w:val="22"/>
          <w:lang w:val="es-ES" w:eastAsia="en-US"/>
        </w:rPr>
        <w:t xml:space="preserve"> y la lucha contra la economía sumergida.</w:t>
      </w:r>
      <w:r w:rsidR="003F31A0">
        <w:rPr>
          <w:rFonts w:ascii="Tahoma" w:eastAsiaTheme="minorHAnsi" w:hAnsi="Tahoma" w:cs="Tahoma"/>
          <w:b w:val="0"/>
          <w:sz w:val="22"/>
          <w:szCs w:val="22"/>
          <w:lang w:val="es-ES" w:eastAsia="en-US"/>
        </w:rPr>
        <w:t xml:space="preserve"> Asimismo, ha participado en esta reunión el coordinador de esta Dirección General, Alejandro Salcedo.</w:t>
      </w:r>
    </w:p>
    <w:p w:rsidR="00636031" w:rsidRDefault="00636031" w:rsidP="00636031">
      <w:pPr>
        <w:pStyle w:val="Textoindependiente3"/>
        <w:rPr>
          <w:rFonts w:ascii="Tahoma" w:eastAsiaTheme="minorHAnsi" w:hAnsi="Tahoma" w:cs="Tahoma"/>
          <w:b w:val="0"/>
          <w:sz w:val="22"/>
          <w:szCs w:val="22"/>
          <w:lang w:val="es-ES" w:eastAsia="en-US"/>
        </w:rPr>
      </w:pPr>
    </w:p>
    <w:p w:rsidR="003F31A0" w:rsidRPr="003F31A0" w:rsidRDefault="00636031" w:rsidP="003F31A0">
      <w:pPr>
        <w:spacing w:before="100" w:beforeAutospacing="1" w:after="240"/>
        <w:rPr>
          <w:rFonts w:ascii="Tahoma" w:hAnsi="Tahoma" w:cs="Tahoma"/>
          <w:sz w:val="22"/>
          <w:szCs w:val="22"/>
        </w:rPr>
      </w:pPr>
      <w:r w:rsidRPr="00636031">
        <w:rPr>
          <w:rFonts w:ascii="Tahoma" w:eastAsiaTheme="minorHAnsi" w:hAnsi="Tahoma" w:cs="Tahoma"/>
          <w:sz w:val="22"/>
          <w:szCs w:val="22"/>
          <w:lang w:val="es-ES" w:eastAsia="en-US"/>
        </w:rPr>
        <w:t xml:space="preserve">Para poder abordar esta queja, el director general se ha referido a la </w:t>
      </w:r>
      <w:hyperlink r:id="rId11" w:history="1">
        <w:r w:rsidRPr="003F31A0">
          <w:rPr>
            <w:rStyle w:val="Hipervnculo"/>
            <w:rFonts w:ascii="Tahoma" w:hAnsi="Tahoma" w:cs="Tahoma"/>
            <w:sz w:val="22"/>
            <w:szCs w:val="22"/>
            <w:shd w:val="clear" w:color="auto" w:fill="FFFFFF"/>
          </w:rPr>
          <w:t>Comisión Regional para la Coordinación de la Prevención y Erradicación de las Prácticas Comerciales Desleales</w:t>
        </w:r>
      </w:hyperlink>
      <w:r w:rsidR="003F31A0">
        <w:rPr>
          <w:rFonts w:ascii="Tahoma" w:hAnsi="Tahoma" w:cs="Tahoma"/>
          <w:color w:val="002060"/>
          <w:sz w:val="22"/>
          <w:szCs w:val="22"/>
          <w:shd w:val="clear" w:color="auto" w:fill="FFFFFF"/>
        </w:rPr>
        <w:t xml:space="preserve">, </w:t>
      </w:r>
      <w:r w:rsidR="003F31A0" w:rsidRPr="003F31A0">
        <w:rPr>
          <w:rFonts w:ascii="Tahoma" w:hAnsi="Tahoma" w:cs="Tahoma"/>
          <w:sz w:val="22"/>
          <w:szCs w:val="22"/>
          <w:shd w:val="clear" w:color="auto" w:fill="FFFFFF"/>
        </w:rPr>
        <w:t xml:space="preserve">que el </w:t>
      </w:r>
      <w:r w:rsidR="003F31A0" w:rsidRPr="003F31A0">
        <w:rPr>
          <w:rFonts w:ascii="Tahoma" w:hAnsi="Tahoma" w:cs="Tahoma"/>
          <w:sz w:val="22"/>
          <w:szCs w:val="22"/>
          <w:shd w:val="clear" w:color="auto" w:fill="FFFFFF"/>
        </w:rPr>
        <w:t xml:space="preserve">  Gobierno de Castilla-La Mancha, a través de la Consejería de Desarrollo Sostenible, ha creado </w:t>
      </w:r>
      <w:r w:rsidR="003F31A0">
        <w:rPr>
          <w:rFonts w:ascii="Tahoma" w:hAnsi="Tahoma" w:cs="Tahoma"/>
          <w:sz w:val="22"/>
          <w:szCs w:val="22"/>
          <w:shd w:val="clear" w:color="auto" w:fill="FFFFFF"/>
        </w:rPr>
        <w:t xml:space="preserve">y </w:t>
      </w:r>
      <w:r w:rsidR="003F31A0" w:rsidRPr="003F31A0">
        <w:rPr>
          <w:rFonts w:ascii="Tahoma" w:hAnsi="Tahoma" w:cs="Tahoma"/>
          <w:sz w:val="22"/>
          <w:szCs w:val="22"/>
          <w:shd w:val="clear" w:color="auto" w:fill="FFFFFF"/>
        </w:rPr>
        <w:t>con la que pretende coordinar las actuaciones de los distintos órganos directivos de la Junta de Comunidades de Castilla-La Mancha con competencias concurrentes en el ámbito de las prácticas comerciales desleales y también con la Administración General del Estado.</w:t>
      </w:r>
    </w:p>
    <w:p w:rsidR="003F31A0" w:rsidRDefault="003F31A0" w:rsidP="003F31A0">
      <w:pPr>
        <w:spacing w:before="100" w:beforeAutospacing="1" w:after="240"/>
        <w:rPr>
          <w:rFonts w:ascii="Tahoma" w:hAnsi="Tahoma" w:cs="Tahoma"/>
          <w:sz w:val="22"/>
          <w:szCs w:val="22"/>
          <w:shd w:val="clear" w:color="auto" w:fill="FFFFFF"/>
        </w:rPr>
      </w:pPr>
      <w:r w:rsidRPr="003F31A0">
        <w:rPr>
          <w:rFonts w:ascii="Tahoma" w:hAnsi="Tahoma" w:cs="Tahoma"/>
          <w:sz w:val="22"/>
          <w:szCs w:val="22"/>
          <w:shd w:val="clear" w:color="auto" w:fill="FFFFFF"/>
        </w:rPr>
        <w:t>Dicha comisión, cómo órgano colegiado interdepartamental adscrito a la Consejería con competencias en materia de consumo, “tiene por objeto que los controles que se desarrollen resulten más eficientes en la medida que se aborden con un carácter integral, tanto en los distintos aspectos a controlar como en la fase de cadena de valor en la que se llevan a cabo, permitiendo una trazabilidad completa en el proceso, desde la producción o fabricación hasta su venta a las personas consumidoras y usuarias”.</w:t>
      </w:r>
    </w:p>
    <w:p w:rsidR="003F31A0" w:rsidRDefault="003F31A0" w:rsidP="003F31A0">
      <w:pPr>
        <w:spacing w:before="100" w:beforeAutospacing="1" w:after="240"/>
        <w:rPr>
          <w:rFonts w:ascii="Tahoma" w:hAnsi="Tahoma" w:cs="Tahoma"/>
          <w:sz w:val="22"/>
          <w:szCs w:val="22"/>
          <w:shd w:val="clear" w:color="auto" w:fill="FFFFFF"/>
        </w:rPr>
      </w:pPr>
      <w:r w:rsidRPr="003F31A0">
        <w:rPr>
          <w:rFonts w:ascii="Tahoma" w:hAnsi="Tahoma" w:cs="Tahoma"/>
          <w:sz w:val="22"/>
          <w:szCs w:val="22"/>
          <w:shd w:val="clear" w:color="auto" w:fill="FFFFFF"/>
        </w:rPr>
        <w:t>En este sentido, el director general ha recordado que l</w:t>
      </w:r>
      <w:r w:rsidRPr="003F31A0">
        <w:rPr>
          <w:rFonts w:ascii="Tahoma" w:hAnsi="Tahoma" w:cs="Tahoma"/>
          <w:sz w:val="22"/>
          <w:szCs w:val="22"/>
          <w:shd w:val="clear" w:color="auto" w:fill="FFFFFF"/>
        </w:rPr>
        <w:t>a Ley 3/2019 de 22 de marzo del Estatuto de las Personas Consumidoras de Castilla-La Mancha establece que éstas tendrán derecho a una protección frente a las prácticas comerciales consideradas desleales por agresivas, abusivas o engañosas, antes, durante y después de una transacción comercial. “Entre las prácticas comerciales desleales, la más habitual es la publicidad engañosa, es decir, que puede inducir a error al público destinatario o afectar su comportamiento económico”.</w:t>
      </w:r>
    </w:p>
    <w:p w:rsidR="001231E4" w:rsidRDefault="001231E4" w:rsidP="003F31A0">
      <w:pPr>
        <w:spacing w:before="100" w:beforeAutospacing="1" w:after="240"/>
        <w:rPr>
          <w:rFonts w:ascii="Tahoma" w:hAnsi="Tahoma" w:cs="Tahoma"/>
          <w:sz w:val="22"/>
          <w:szCs w:val="22"/>
          <w:shd w:val="clear" w:color="auto" w:fill="FFFFFF"/>
        </w:rPr>
      </w:pPr>
    </w:p>
    <w:p w:rsidR="001231E4" w:rsidRDefault="001231E4" w:rsidP="003F31A0">
      <w:pPr>
        <w:spacing w:before="100" w:beforeAutospacing="1" w:after="240"/>
        <w:rPr>
          <w:rFonts w:ascii="Tahoma" w:hAnsi="Tahoma" w:cs="Tahoma"/>
          <w:sz w:val="22"/>
          <w:szCs w:val="22"/>
          <w:shd w:val="clear" w:color="auto" w:fill="FFFFFF"/>
        </w:rPr>
      </w:pPr>
    </w:p>
    <w:p w:rsidR="001231E4" w:rsidRDefault="001231E4" w:rsidP="003F31A0">
      <w:pPr>
        <w:spacing w:before="100" w:beforeAutospacing="1" w:after="240"/>
        <w:rPr>
          <w:rFonts w:ascii="Tahoma" w:hAnsi="Tahoma" w:cs="Tahoma"/>
          <w:sz w:val="22"/>
          <w:szCs w:val="22"/>
          <w:shd w:val="clear" w:color="auto" w:fill="FFFFFF"/>
        </w:rPr>
      </w:pPr>
    </w:p>
    <w:p w:rsidR="003F31A0" w:rsidRDefault="003F31A0" w:rsidP="003F31A0">
      <w:pPr>
        <w:spacing w:before="100" w:beforeAutospacing="1" w:after="240"/>
        <w:rPr>
          <w:rFonts w:ascii="Tahoma" w:hAnsi="Tahoma" w:cs="Tahoma"/>
          <w:sz w:val="22"/>
          <w:szCs w:val="22"/>
          <w:shd w:val="clear" w:color="auto" w:fill="FFFFFF"/>
        </w:rPr>
      </w:pPr>
      <w:r w:rsidRPr="003F31A0">
        <w:rPr>
          <w:rFonts w:ascii="Tahoma" w:hAnsi="Tahoma" w:cs="Tahoma"/>
          <w:sz w:val="22"/>
          <w:szCs w:val="22"/>
          <w:shd w:val="clear" w:color="auto" w:fill="FFFFFF"/>
        </w:rPr>
        <w:t xml:space="preserve">A este respecto se ha barajado </w:t>
      </w:r>
      <w:r>
        <w:rPr>
          <w:rFonts w:ascii="Tahoma" w:hAnsi="Tahoma" w:cs="Tahoma"/>
          <w:sz w:val="22"/>
          <w:szCs w:val="22"/>
          <w:shd w:val="clear" w:color="auto" w:fill="FFFFFF"/>
        </w:rPr>
        <w:t>la posibilidad de trasladar a esta</w:t>
      </w:r>
      <w:r w:rsidRPr="003F31A0">
        <w:rPr>
          <w:rFonts w:ascii="Tahoma" w:hAnsi="Tahoma" w:cs="Tahoma"/>
          <w:sz w:val="22"/>
          <w:szCs w:val="22"/>
          <w:shd w:val="clear" w:color="auto" w:fill="FFFFFF"/>
        </w:rPr>
        <w:t xml:space="preserve"> comisión desde la </w:t>
      </w:r>
      <w:r>
        <w:rPr>
          <w:rFonts w:ascii="Tahoma" w:hAnsi="Tahoma" w:cs="Tahoma"/>
          <w:sz w:val="22"/>
          <w:szCs w:val="22"/>
          <w:shd w:val="clear" w:color="auto" w:fill="FFFFFF"/>
        </w:rPr>
        <w:t>P</w:t>
      </w:r>
      <w:r w:rsidRPr="003F31A0">
        <w:rPr>
          <w:rFonts w:ascii="Tahoma" w:hAnsi="Tahoma" w:cs="Tahoma"/>
          <w:sz w:val="22"/>
          <w:szCs w:val="22"/>
          <w:shd w:val="clear" w:color="auto" w:fill="FFFFFF"/>
        </w:rPr>
        <w:t>lataforma  temas de interés, incluso poder asistir a sus reuniones con voz pero sin voto</w:t>
      </w:r>
      <w:r>
        <w:rPr>
          <w:rFonts w:ascii="Tahoma" w:hAnsi="Tahoma" w:cs="Tahoma"/>
          <w:sz w:val="22"/>
          <w:szCs w:val="22"/>
          <w:shd w:val="clear" w:color="auto" w:fill="FFFFFF"/>
        </w:rPr>
        <w:t xml:space="preserve">. </w:t>
      </w:r>
    </w:p>
    <w:p w:rsidR="001231E4" w:rsidRPr="001231E4" w:rsidRDefault="001231E4" w:rsidP="003F31A0">
      <w:pPr>
        <w:spacing w:before="100" w:beforeAutospacing="1" w:after="240"/>
        <w:rPr>
          <w:rFonts w:ascii="Tahoma" w:hAnsi="Tahoma" w:cs="Tahoma"/>
          <w:b/>
          <w:sz w:val="22"/>
          <w:szCs w:val="22"/>
          <w:shd w:val="clear" w:color="auto" w:fill="FFFFFF"/>
        </w:rPr>
      </w:pPr>
      <w:r w:rsidRPr="001231E4">
        <w:rPr>
          <w:rFonts w:ascii="Tahoma" w:hAnsi="Tahoma" w:cs="Tahoma"/>
          <w:b/>
          <w:sz w:val="22"/>
          <w:szCs w:val="22"/>
          <w:shd w:val="clear" w:color="auto" w:fill="FFFFFF"/>
        </w:rPr>
        <w:t>Autorregulación publicitaria</w:t>
      </w:r>
    </w:p>
    <w:p w:rsidR="003F31A0" w:rsidRPr="003F31A0" w:rsidRDefault="001231E4" w:rsidP="003F31A0">
      <w:pPr>
        <w:spacing w:before="100" w:beforeAutospacing="1" w:after="240"/>
        <w:rPr>
          <w:rFonts w:ascii="Tahoma" w:hAnsi="Tahoma" w:cs="Tahoma"/>
          <w:sz w:val="22"/>
          <w:szCs w:val="22"/>
          <w:shd w:val="clear" w:color="auto" w:fill="FFFFFF"/>
        </w:rPr>
      </w:pPr>
      <w:r>
        <w:rPr>
          <w:rFonts w:ascii="Tahoma" w:hAnsi="Tahoma" w:cs="Tahoma"/>
          <w:sz w:val="22"/>
          <w:szCs w:val="22"/>
          <w:shd w:val="clear" w:color="auto" w:fill="FFFFFF"/>
        </w:rPr>
        <w:t>A</w:t>
      </w:r>
      <w:r w:rsidR="003F31A0" w:rsidRPr="003F31A0">
        <w:rPr>
          <w:rFonts w:ascii="Tahoma" w:hAnsi="Tahoma" w:cs="Tahoma"/>
          <w:sz w:val="22"/>
          <w:szCs w:val="22"/>
          <w:shd w:val="clear" w:color="auto" w:fill="FFFFFF"/>
        </w:rPr>
        <w:t>simismo, h</w:t>
      </w:r>
      <w:r w:rsidR="003F31A0" w:rsidRPr="003F31A0">
        <w:rPr>
          <w:rFonts w:ascii="Tahoma" w:hAnsi="Tahoma" w:cs="Tahoma"/>
          <w:sz w:val="22"/>
          <w:szCs w:val="22"/>
          <w:shd w:val="clear" w:color="auto" w:fill="FFFFFF"/>
        </w:rPr>
        <w:t>a comentado por su parte la función que vienen desarrollando los inspectores de consumo</w:t>
      </w:r>
      <w:r w:rsidR="003F31A0">
        <w:rPr>
          <w:rFonts w:ascii="Tahoma" w:hAnsi="Tahoma" w:cs="Tahoma"/>
          <w:sz w:val="22"/>
          <w:szCs w:val="22"/>
          <w:shd w:val="clear" w:color="auto" w:fill="FFFFFF"/>
        </w:rPr>
        <w:t>, con</w:t>
      </w:r>
      <w:r w:rsidR="003F31A0" w:rsidRPr="003F31A0">
        <w:rPr>
          <w:rFonts w:ascii="Tahoma" w:hAnsi="Tahoma" w:cs="Tahoma"/>
          <w:sz w:val="22"/>
          <w:szCs w:val="22"/>
          <w:shd w:val="clear" w:color="auto" w:fill="FFFFFF"/>
        </w:rPr>
        <w:t xml:space="preserve"> actuaciones programadas dependiendo de las exigencias del comercio, reclamaciones interpuestas</w:t>
      </w:r>
      <w:r w:rsidR="003F31A0">
        <w:rPr>
          <w:rFonts w:ascii="Tahoma" w:hAnsi="Tahoma" w:cs="Tahoma"/>
          <w:sz w:val="22"/>
          <w:szCs w:val="22"/>
          <w:shd w:val="clear" w:color="auto" w:fill="FFFFFF"/>
        </w:rPr>
        <w:t>,</w:t>
      </w:r>
      <w:r w:rsidR="003F31A0" w:rsidRPr="003F31A0">
        <w:rPr>
          <w:rFonts w:ascii="Tahoma" w:hAnsi="Tahoma" w:cs="Tahoma"/>
          <w:sz w:val="22"/>
          <w:szCs w:val="22"/>
          <w:shd w:val="clear" w:color="auto" w:fill="FFFFFF"/>
        </w:rPr>
        <w:t xml:space="preserve"> etc. siendo un plan de inspección público de carácter preventivo donde al final es escaso el número de sanciones, ya que primero realizan un </w:t>
      </w:r>
      <w:r w:rsidR="00332961">
        <w:rPr>
          <w:rFonts w:ascii="Tahoma" w:hAnsi="Tahoma" w:cs="Tahoma"/>
          <w:sz w:val="22"/>
          <w:szCs w:val="22"/>
          <w:shd w:val="clear" w:color="auto" w:fill="FFFFFF"/>
        </w:rPr>
        <w:t>apercibimiento. Se ha ampliado este plan a la venta online.</w:t>
      </w:r>
    </w:p>
    <w:p w:rsidR="00332961" w:rsidRPr="001231E4" w:rsidRDefault="001231E4" w:rsidP="00332961">
      <w:pPr>
        <w:spacing w:before="100" w:beforeAutospacing="1" w:after="240"/>
        <w:rPr>
          <w:rFonts w:ascii="Tahoma" w:hAnsi="Tahoma" w:cs="Tahoma"/>
          <w:sz w:val="22"/>
          <w:szCs w:val="22"/>
          <w:shd w:val="clear" w:color="auto" w:fill="FFFFFF"/>
        </w:rPr>
      </w:pPr>
      <w:r w:rsidRPr="001231E4">
        <w:rPr>
          <w:rFonts w:ascii="Tahoma" w:hAnsi="Tahoma" w:cs="Tahoma"/>
          <w:sz w:val="22"/>
          <w:szCs w:val="22"/>
          <w:shd w:val="clear" w:color="auto" w:fill="FFFFFF"/>
        </w:rPr>
        <w:t>El director g</w:t>
      </w:r>
      <w:r w:rsidR="00332961" w:rsidRPr="001231E4">
        <w:rPr>
          <w:rFonts w:ascii="Tahoma" w:hAnsi="Tahoma" w:cs="Tahoma"/>
          <w:sz w:val="22"/>
          <w:szCs w:val="22"/>
          <w:shd w:val="clear" w:color="auto" w:fill="FFFFFF"/>
        </w:rPr>
        <w:t xml:space="preserve">eneral </w:t>
      </w:r>
      <w:r w:rsidRPr="001231E4">
        <w:rPr>
          <w:rFonts w:ascii="Tahoma" w:hAnsi="Tahoma" w:cs="Tahoma"/>
          <w:sz w:val="22"/>
          <w:szCs w:val="22"/>
          <w:shd w:val="clear" w:color="auto" w:fill="FFFFFF"/>
        </w:rPr>
        <w:t>también ha comentado</w:t>
      </w:r>
      <w:r w:rsidR="00332961" w:rsidRPr="001231E4">
        <w:rPr>
          <w:rFonts w:ascii="Tahoma" w:hAnsi="Tahoma" w:cs="Tahoma"/>
          <w:sz w:val="22"/>
          <w:szCs w:val="22"/>
          <w:shd w:val="clear" w:color="auto" w:fill="FFFFFF"/>
        </w:rPr>
        <w:t xml:space="preserve"> la inminente publicación durante el mes de marzo de las beses y convocatoria de las subvenciones para el desarrollo de proyectos en materia de consumo responsable realizados por entidades sin ánimo de lucro, donde la </w:t>
      </w:r>
      <w:r w:rsidRPr="001231E4">
        <w:rPr>
          <w:rFonts w:ascii="Tahoma" w:hAnsi="Tahoma" w:cs="Tahoma"/>
          <w:sz w:val="22"/>
          <w:szCs w:val="22"/>
          <w:shd w:val="clear" w:color="auto" w:fill="FFFFFF"/>
        </w:rPr>
        <w:t>P</w:t>
      </w:r>
      <w:r w:rsidR="00332961" w:rsidRPr="001231E4">
        <w:rPr>
          <w:rFonts w:ascii="Tahoma" w:hAnsi="Tahoma" w:cs="Tahoma"/>
          <w:sz w:val="22"/>
          <w:szCs w:val="22"/>
          <w:shd w:val="clear" w:color="auto" w:fill="FFFFFF"/>
        </w:rPr>
        <w:t xml:space="preserve">lataforma podría </w:t>
      </w:r>
      <w:r w:rsidRPr="001231E4">
        <w:rPr>
          <w:rFonts w:ascii="Tahoma" w:hAnsi="Tahoma" w:cs="Tahoma"/>
          <w:sz w:val="22"/>
          <w:szCs w:val="22"/>
          <w:shd w:val="clear" w:color="auto" w:fill="FFFFFF"/>
        </w:rPr>
        <w:t xml:space="preserve">concurrir con proyectos enfocados al pago de impuestos. </w:t>
      </w:r>
    </w:p>
    <w:p w:rsidR="00332961" w:rsidRDefault="001231E4" w:rsidP="00332961">
      <w:pPr>
        <w:spacing w:before="100" w:beforeAutospacing="1" w:after="240"/>
        <w:rPr>
          <w:rFonts w:ascii="Tahoma" w:hAnsi="Tahoma" w:cs="Tahoma"/>
          <w:sz w:val="22"/>
          <w:szCs w:val="22"/>
          <w:shd w:val="clear" w:color="auto" w:fill="FFFFFF"/>
        </w:rPr>
      </w:pPr>
      <w:r>
        <w:rPr>
          <w:rFonts w:ascii="Tahoma" w:hAnsi="Tahoma" w:cs="Tahoma"/>
          <w:sz w:val="22"/>
          <w:szCs w:val="22"/>
          <w:shd w:val="clear" w:color="auto" w:fill="FFFFFF"/>
        </w:rPr>
        <w:t xml:space="preserve">Por último, ha sido referido el </w:t>
      </w:r>
      <w:r w:rsidR="00332961" w:rsidRPr="00332961">
        <w:rPr>
          <w:rFonts w:ascii="Tahoma" w:hAnsi="Tahoma" w:cs="Tahoma"/>
          <w:sz w:val="22"/>
          <w:szCs w:val="22"/>
          <w:shd w:val="clear" w:color="auto" w:fill="FFFFFF"/>
        </w:rPr>
        <w:t xml:space="preserve">convenio al que se encuentra adherido </w:t>
      </w:r>
      <w:r>
        <w:rPr>
          <w:rFonts w:ascii="Tahoma" w:hAnsi="Tahoma" w:cs="Tahoma"/>
          <w:sz w:val="22"/>
          <w:szCs w:val="22"/>
          <w:shd w:val="clear" w:color="auto" w:fill="FFFFFF"/>
        </w:rPr>
        <w:t xml:space="preserve">el Gobierno regional de Castilla-La Mancha </w:t>
      </w:r>
      <w:r w:rsidR="00332961" w:rsidRPr="00332961">
        <w:rPr>
          <w:rFonts w:ascii="Tahoma" w:hAnsi="Tahoma" w:cs="Tahoma"/>
          <w:sz w:val="22"/>
          <w:szCs w:val="22"/>
          <w:shd w:val="clear" w:color="auto" w:fill="FFFFFF"/>
        </w:rPr>
        <w:t xml:space="preserve">con </w:t>
      </w:r>
      <w:hyperlink r:id="rId12" w:history="1">
        <w:r w:rsidRPr="001231E4">
          <w:rPr>
            <w:rStyle w:val="Hipervnculo"/>
            <w:rFonts w:ascii="Tahoma" w:hAnsi="Tahoma" w:cs="Tahoma"/>
            <w:color w:val="2F5496" w:themeColor="accent5" w:themeShade="BF"/>
            <w:sz w:val="22"/>
            <w:szCs w:val="22"/>
            <w:shd w:val="clear" w:color="auto" w:fill="FFFFFF"/>
          </w:rPr>
          <w:t xml:space="preserve">Autocontrol </w:t>
        </w:r>
      </w:hyperlink>
      <w:r w:rsidRPr="001231E4">
        <w:rPr>
          <w:rFonts w:ascii="Tahoma" w:hAnsi="Tahoma" w:cs="Tahoma"/>
          <w:color w:val="2F5496" w:themeColor="accent5" w:themeShade="BF"/>
          <w:sz w:val="22"/>
          <w:szCs w:val="22"/>
          <w:shd w:val="clear" w:color="auto" w:fill="FFFFFF"/>
        </w:rPr>
        <w:t xml:space="preserve"> </w:t>
      </w:r>
      <w:r w:rsidR="00332961" w:rsidRPr="00332961">
        <w:rPr>
          <w:rFonts w:ascii="Tahoma" w:hAnsi="Tahoma" w:cs="Tahoma"/>
          <w:sz w:val="22"/>
          <w:szCs w:val="22"/>
          <w:shd w:val="clear" w:color="auto" w:fill="FFFFFF"/>
        </w:rPr>
        <w:t xml:space="preserve">(Asociación para la autorregulación de la comunicación comercial)  y como se realiza en su seno la </w:t>
      </w:r>
      <w:hyperlink r:id="rId13" w:history="1">
        <w:r w:rsidR="00332961" w:rsidRPr="001231E4">
          <w:rPr>
            <w:rStyle w:val="Hipervnculo"/>
            <w:rFonts w:ascii="Tahoma" w:hAnsi="Tahoma" w:cs="Tahoma"/>
            <w:color w:val="2F5496" w:themeColor="accent5" w:themeShade="BF"/>
            <w:sz w:val="22"/>
            <w:szCs w:val="22"/>
            <w:shd w:val="clear" w:color="auto" w:fill="FFFFFF"/>
          </w:rPr>
          <w:t xml:space="preserve">autorregulación publicitaria  </w:t>
        </w:r>
      </w:hyperlink>
      <w:r w:rsidR="00332961" w:rsidRPr="00332961">
        <w:rPr>
          <w:rFonts w:ascii="Tahoma" w:hAnsi="Tahoma" w:cs="Tahoma"/>
          <w:sz w:val="22"/>
          <w:szCs w:val="22"/>
          <w:shd w:val="clear" w:color="auto" w:fill="FFFFFF"/>
        </w:rPr>
        <w:t xml:space="preserve">(sus integrantes adquieren un compromiso previo de autorregulación y complimiento. </w:t>
      </w:r>
    </w:p>
    <w:p w:rsidR="001231E4" w:rsidRPr="00332961" w:rsidRDefault="001231E4" w:rsidP="001231E4">
      <w:pPr>
        <w:spacing w:before="100" w:beforeAutospacing="1" w:after="240"/>
        <w:rPr>
          <w:rFonts w:ascii="Tahoma" w:hAnsi="Tahoma" w:cs="Tahoma"/>
          <w:sz w:val="22"/>
          <w:szCs w:val="22"/>
          <w:shd w:val="clear" w:color="auto" w:fill="FFFFFF"/>
        </w:rPr>
      </w:pPr>
      <w:r>
        <w:rPr>
          <w:rFonts w:ascii="Tahoma" w:hAnsi="Tahoma" w:cs="Tahoma"/>
          <w:sz w:val="22"/>
          <w:szCs w:val="22"/>
          <w:shd w:val="clear" w:color="auto" w:fill="FFFFFF"/>
        </w:rPr>
        <w:t xml:space="preserve">También se ha puesto sobre la mesa de la reunión los </w:t>
      </w:r>
      <w:hyperlink r:id="rId14" w:history="1">
        <w:r w:rsidRPr="003E7034">
          <w:rPr>
            <w:rStyle w:val="Hipervnculo"/>
            <w:rFonts w:ascii="Tahoma" w:hAnsi="Tahoma" w:cs="Tahoma"/>
            <w:sz w:val="22"/>
            <w:szCs w:val="22"/>
            <w:shd w:val="clear" w:color="auto" w:fill="FFFFFF"/>
          </w:rPr>
          <w:t>Distintivos en mejores prácticas de consumo</w:t>
        </w:r>
      </w:hyperlink>
      <w:r>
        <w:rPr>
          <w:rFonts w:ascii="Tahoma" w:hAnsi="Tahoma" w:cs="Tahoma"/>
          <w:color w:val="002060"/>
          <w:sz w:val="22"/>
          <w:szCs w:val="22"/>
          <w:shd w:val="clear" w:color="auto" w:fill="FFFFFF"/>
        </w:rPr>
        <w:t xml:space="preserve">, </w:t>
      </w:r>
      <w:r w:rsidRPr="00332961">
        <w:rPr>
          <w:rFonts w:ascii="Tahoma" w:hAnsi="Tahoma" w:cs="Tahoma"/>
          <w:sz w:val="22"/>
          <w:szCs w:val="22"/>
          <w:shd w:val="clear" w:color="auto" w:fill="FFFFFF"/>
        </w:rPr>
        <w:t>otorgados por la J</w:t>
      </w:r>
      <w:r>
        <w:rPr>
          <w:rFonts w:ascii="Tahoma" w:hAnsi="Tahoma" w:cs="Tahoma"/>
          <w:sz w:val="22"/>
          <w:szCs w:val="22"/>
          <w:shd w:val="clear" w:color="auto" w:fill="FFFFFF"/>
        </w:rPr>
        <w:t>unta de Comunidades de Castilla-La Mancha, que pueden ser solicitados tanto por organizaciones como por empresa. En este sentido, se ha planteado la posibilidad de poder presentarse como Plataforma.</w:t>
      </w:r>
    </w:p>
    <w:p w:rsidR="001231E4" w:rsidRPr="00332961" w:rsidRDefault="001231E4" w:rsidP="001231E4">
      <w:pPr>
        <w:spacing w:before="100" w:beforeAutospacing="1" w:after="240"/>
        <w:rPr>
          <w:rFonts w:ascii="Tahoma" w:hAnsi="Tahoma" w:cs="Tahoma"/>
          <w:sz w:val="22"/>
          <w:szCs w:val="22"/>
          <w:shd w:val="clear" w:color="auto" w:fill="FFFFFF"/>
        </w:rPr>
      </w:pPr>
      <w:r>
        <w:rPr>
          <w:rFonts w:ascii="Tahoma" w:hAnsi="Tahoma" w:cs="Tahoma"/>
          <w:sz w:val="22"/>
          <w:szCs w:val="22"/>
          <w:shd w:val="clear" w:color="auto" w:fill="FFFFFF"/>
        </w:rPr>
        <w:t xml:space="preserve">La reunión </w:t>
      </w:r>
      <w:r>
        <w:rPr>
          <w:rFonts w:ascii="Tahoma" w:hAnsi="Tahoma" w:cs="Tahoma"/>
          <w:sz w:val="22"/>
          <w:szCs w:val="22"/>
          <w:shd w:val="clear" w:color="auto" w:fill="FFFFFF"/>
        </w:rPr>
        <w:t xml:space="preserve">ha concluido para la </w:t>
      </w:r>
      <w:r>
        <w:rPr>
          <w:rFonts w:ascii="Tahoma" w:hAnsi="Tahoma" w:cs="Tahoma"/>
          <w:sz w:val="22"/>
          <w:szCs w:val="22"/>
          <w:shd w:val="clear" w:color="auto" w:fill="FFFFFF"/>
        </w:rPr>
        <w:t xml:space="preserve">puesta en común </w:t>
      </w:r>
      <w:r w:rsidRPr="00332961">
        <w:rPr>
          <w:rFonts w:ascii="Tahoma" w:hAnsi="Tahoma" w:cs="Tahoma"/>
          <w:sz w:val="22"/>
          <w:szCs w:val="22"/>
          <w:shd w:val="clear" w:color="auto" w:fill="FFFFFF"/>
        </w:rPr>
        <w:t xml:space="preserve">de diversos temas entre los </w:t>
      </w:r>
      <w:r>
        <w:rPr>
          <w:rFonts w:ascii="Tahoma" w:hAnsi="Tahoma" w:cs="Tahoma"/>
          <w:sz w:val="22"/>
          <w:szCs w:val="22"/>
          <w:shd w:val="clear" w:color="auto" w:fill="FFFFFF"/>
        </w:rPr>
        <w:t xml:space="preserve">sectores </w:t>
      </w:r>
      <w:r>
        <w:rPr>
          <w:rFonts w:ascii="Tahoma" w:hAnsi="Tahoma" w:cs="Tahoma"/>
          <w:sz w:val="22"/>
          <w:szCs w:val="22"/>
          <w:shd w:val="clear" w:color="auto" w:fill="FFFFFF"/>
        </w:rPr>
        <w:t>de la P</w:t>
      </w:r>
      <w:r w:rsidRPr="00332961">
        <w:rPr>
          <w:rFonts w:ascii="Tahoma" w:hAnsi="Tahoma" w:cs="Tahoma"/>
          <w:sz w:val="22"/>
          <w:szCs w:val="22"/>
          <w:shd w:val="clear" w:color="auto" w:fill="FFFFFF"/>
        </w:rPr>
        <w:t>lataforma y el director y coordinador Agenda 2030 y Consumo,</w:t>
      </w:r>
      <w:r>
        <w:rPr>
          <w:rFonts w:ascii="Tahoma" w:hAnsi="Tahoma" w:cs="Tahoma"/>
          <w:sz w:val="22"/>
          <w:szCs w:val="22"/>
          <w:shd w:val="clear" w:color="auto" w:fill="FFFFFF"/>
        </w:rPr>
        <w:t xml:space="preserve"> a</w:t>
      </w:r>
      <w:r w:rsidRPr="00332961">
        <w:rPr>
          <w:rFonts w:ascii="Tahoma" w:hAnsi="Tahoma" w:cs="Tahoma"/>
          <w:sz w:val="22"/>
          <w:szCs w:val="22"/>
          <w:shd w:val="clear" w:color="auto" w:fill="FFFFFF"/>
        </w:rPr>
        <w:t xml:space="preserve">lgunos de los cuales </w:t>
      </w:r>
      <w:r>
        <w:rPr>
          <w:rFonts w:ascii="Tahoma" w:hAnsi="Tahoma" w:cs="Tahoma"/>
          <w:sz w:val="22"/>
          <w:szCs w:val="22"/>
          <w:shd w:val="clear" w:color="auto" w:fill="FFFFFF"/>
        </w:rPr>
        <w:t xml:space="preserve">más de </w:t>
      </w:r>
      <w:r w:rsidRPr="00332961">
        <w:rPr>
          <w:rFonts w:ascii="Tahoma" w:hAnsi="Tahoma" w:cs="Tahoma"/>
          <w:sz w:val="22"/>
          <w:szCs w:val="22"/>
          <w:shd w:val="clear" w:color="auto" w:fill="FFFFFF"/>
        </w:rPr>
        <w:t xml:space="preserve"> competencia de la D</w:t>
      </w:r>
      <w:r>
        <w:rPr>
          <w:rFonts w:ascii="Tahoma" w:hAnsi="Tahoma" w:cs="Tahoma"/>
          <w:sz w:val="22"/>
          <w:szCs w:val="22"/>
          <w:shd w:val="clear" w:color="auto" w:fill="FFFFFF"/>
        </w:rPr>
        <w:t>irección General de</w:t>
      </w:r>
      <w:r w:rsidRPr="00332961">
        <w:rPr>
          <w:rFonts w:ascii="Tahoma" w:hAnsi="Tahoma" w:cs="Tahoma"/>
          <w:sz w:val="22"/>
          <w:szCs w:val="22"/>
          <w:shd w:val="clear" w:color="auto" w:fill="FFFFFF"/>
        </w:rPr>
        <w:t xml:space="preserve"> Tributos y de la D</w:t>
      </w:r>
      <w:r>
        <w:rPr>
          <w:rFonts w:ascii="Tahoma" w:hAnsi="Tahoma" w:cs="Tahoma"/>
          <w:sz w:val="22"/>
          <w:szCs w:val="22"/>
          <w:shd w:val="clear" w:color="auto" w:fill="FFFFFF"/>
        </w:rPr>
        <w:t xml:space="preserve">irección </w:t>
      </w:r>
      <w:r w:rsidRPr="00332961">
        <w:rPr>
          <w:rFonts w:ascii="Tahoma" w:hAnsi="Tahoma" w:cs="Tahoma"/>
          <w:sz w:val="22"/>
          <w:szCs w:val="22"/>
          <w:shd w:val="clear" w:color="auto" w:fill="FFFFFF"/>
        </w:rPr>
        <w:t>G</w:t>
      </w:r>
      <w:r>
        <w:rPr>
          <w:rFonts w:ascii="Tahoma" w:hAnsi="Tahoma" w:cs="Tahoma"/>
          <w:sz w:val="22"/>
          <w:szCs w:val="22"/>
          <w:shd w:val="clear" w:color="auto" w:fill="FFFFFF"/>
        </w:rPr>
        <w:t>eneral de Empresas.</w:t>
      </w:r>
    </w:p>
    <w:p w:rsidR="000C2355" w:rsidRDefault="000C2355" w:rsidP="00636031">
      <w:pPr>
        <w:pStyle w:val="Textoindependiente3"/>
        <w:rPr>
          <w:rFonts w:ascii="Tahoma" w:hAnsi="Tahoma" w:cs="Tahoma"/>
          <w:b w:val="0"/>
          <w:sz w:val="22"/>
          <w:szCs w:val="22"/>
        </w:rPr>
      </w:pPr>
    </w:p>
    <w:p w:rsidR="000C2355" w:rsidRDefault="000C2355" w:rsidP="00636031">
      <w:pPr>
        <w:pStyle w:val="Textoindependiente3"/>
        <w:rPr>
          <w:rFonts w:ascii="Tahoma" w:hAnsi="Tahoma" w:cs="Tahoma"/>
          <w:b w:val="0"/>
          <w:sz w:val="22"/>
          <w:szCs w:val="22"/>
        </w:rPr>
      </w:pPr>
    </w:p>
    <w:p w:rsidR="000C2355" w:rsidRPr="00F52B10" w:rsidRDefault="000C2355" w:rsidP="000C2355">
      <w:pPr>
        <w:spacing w:after="160"/>
        <w:rPr>
          <w:rFonts w:ascii="Tahoma" w:eastAsiaTheme="minorHAnsi" w:hAnsi="Tahoma" w:cs="Tahoma"/>
          <w:sz w:val="18"/>
          <w:szCs w:val="18"/>
          <w:lang w:val="es-ES" w:eastAsia="en-US"/>
        </w:rPr>
      </w:pPr>
      <w:r w:rsidRPr="00F52B10">
        <w:rPr>
          <w:rFonts w:ascii="Tahoma" w:eastAsiaTheme="minorHAnsi" w:hAnsi="Tahoma" w:cs="Tahoma"/>
          <w:b/>
          <w:sz w:val="18"/>
          <w:szCs w:val="18"/>
          <w:lang w:val="es-ES" w:eastAsia="en-US"/>
        </w:rPr>
        <w:t>*Asociaciones sectoriales que integran la Plataforma por la Legalidad, en FEDA</w:t>
      </w:r>
      <w:r w:rsidRPr="00F52B10">
        <w:rPr>
          <w:rFonts w:ascii="Tahoma" w:eastAsiaTheme="minorHAnsi" w:hAnsi="Tahoma" w:cs="Tahoma"/>
          <w:sz w:val="18"/>
          <w:szCs w:val="18"/>
          <w:lang w:val="es-ES" w:eastAsia="en-US"/>
        </w:rPr>
        <w:t>: Asociación de Gestores Ambientales de Albacete, AGESAM; Asociación Provincial de Empresarios de Fontaneros, Calefactores y Afines, AFONCALBA; Asociación Provincial de Empresarios de Instaladores Electricistas y de Telecomunicaciones de Albacete, APIET; Asociación Provincial de Empresas Agroalimentarias de Albacete; Asociación Provincial de Peluquería y Afines de Albacete, APAF; Asociación de Centros de Enseñanza, ACEPA; Asociación Empresarios Maquinas Recolectoras, APEMA ;Asociación Provincial de Empresarios de Cuchillería de Albacete, APRECU; Asociación Provincial de Empresarios de Limpieza de Albacete, APLA; Asociación Provincial de Empresarios de Talleres de Reparación de Vehículos y Afines, APETREVA; Federación de Comercio de Albacete, FEC0M; Asociación Provincial de Empresas de Seguridad de Albacete, AESAB; Asociación de Empresarios de Servicios Regulares de Viajeros; Asociación de Empresarios de Transportes de Servicios Discrecionales de Viajeros; Asociación Provincial de Empresarios de Agencias de Viaje en Albacete,  AVA; Asociación Provincial de Empresarios de Servicios de la Actividad Física y el Deporte, AESAD; Asociación Provincial de Oficinas y Despachos; Asociación Provincial de Empresas de la Tecnología de la Información, APETI; Asolación de Servicios Funerarios de Albacete,  ASFA; Asociación de Empresarios de Centros Privados de Educación Infantil de la Provincial de Albacete, ACEI; Asociación de Empresarios del Sector de la Madera de Albacete; Asociación Empresarial de Gestores Inmobiliarios de la Provincia de Albacete, AGIPAL; Asociación de Diseñadores Profesionales de Albacete, DAB.</w:t>
      </w:r>
    </w:p>
    <w:p w:rsidR="000C2355" w:rsidRPr="00332961" w:rsidRDefault="000C2355" w:rsidP="00636031">
      <w:pPr>
        <w:pStyle w:val="Textoindependiente3"/>
        <w:rPr>
          <w:rFonts w:ascii="Tahoma" w:hAnsi="Tahoma" w:cs="Tahoma"/>
          <w:b w:val="0"/>
          <w:sz w:val="22"/>
          <w:szCs w:val="22"/>
        </w:rPr>
      </w:pPr>
    </w:p>
    <w:sectPr w:rsidR="000C2355" w:rsidRPr="00332961" w:rsidSect="00702694">
      <w:headerReference w:type="default" r:id="rId15"/>
      <w:footerReference w:type="even" r:id="rId16"/>
      <w:footerReference w:type="default" r:id="rId17"/>
      <w:pgSz w:w="11906" w:h="16838"/>
      <w:pgMar w:top="1418" w:right="849"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Times New Roman"/>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Fax">
    <w:altName w:val="Georgia"/>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0C2355">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6" name="Imagen 6"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7" name="Imagen 7"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0C2355"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DF4357"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8" name="Imagen 8"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9" name="Imagen 9"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0C2355"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DF4357"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0C2355"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DF4357"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5" name="Imagen 5"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0654233"/>
    <w:multiLevelType w:val="hybridMultilevel"/>
    <w:tmpl w:val="43A8FF82"/>
    <w:lvl w:ilvl="0" w:tplc="0C0A0005">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00C946BC"/>
    <w:multiLevelType w:val="hybridMultilevel"/>
    <w:tmpl w:val="4FA495EA"/>
    <w:lvl w:ilvl="0" w:tplc="7916CE7E">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1391B58"/>
    <w:multiLevelType w:val="hybridMultilevel"/>
    <w:tmpl w:val="6338B8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0CA4759"/>
    <w:multiLevelType w:val="hybridMultilevel"/>
    <w:tmpl w:val="B0ECDC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3096AC0"/>
    <w:multiLevelType w:val="hybridMultilevel"/>
    <w:tmpl w:val="42FAFC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58C453B"/>
    <w:multiLevelType w:val="hybridMultilevel"/>
    <w:tmpl w:val="60F27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6847E8F"/>
    <w:multiLevelType w:val="hybridMultilevel"/>
    <w:tmpl w:val="77D4859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8727366"/>
    <w:multiLevelType w:val="hybridMultilevel"/>
    <w:tmpl w:val="C5B440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AD505E2"/>
    <w:multiLevelType w:val="hybridMultilevel"/>
    <w:tmpl w:val="B0F404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C2B5504"/>
    <w:multiLevelType w:val="hybridMultilevel"/>
    <w:tmpl w:val="8048CC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1E606EE3"/>
    <w:multiLevelType w:val="hybridMultilevel"/>
    <w:tmpl w:val="B98A53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94F0426"/>
    <w:multiLevelType w:val="hybridMultilevel"/>
    <w:tmpl w:val="A9C0C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9D92F94"/>
    <w:multiLevelType w:val="hybridMultilevel"/>
    <w:tmpl w:val="F3605D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D5A028A"/>
    <w:multiLevelType w:val="hybridMultilevel"/>
    <w:tmpl w:val="F77272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F766DF5"/>
    <w:multiLevelType w:val="hybridMultilevel"/>
    <w:tmpl w:val="285222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14142B1"/>
    <w:multiLevelType w:val="multilevel"/>
    <w:tmpl w:val="64BE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6959E2"/>
    <w:multiLevelType w:val="hybridMultilevel"/>
    <w:tmpl w:val="E416B1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E5A32C0"/>
    <w:multiLevelType w:val="hybridMultilevel"/>
    <w:tmpl w:val="3CFAAC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4F07ADD"/>
    <w:multiLevelType w:val="multilevel"/>
    <w:tmpl w:val="7BB8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B511CC"/>
    <w:multiLevelType w:val="hybridMultilevel"/>
    <w:tmpl w:val="E0E410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0133827"/>
    <w:multiLevelType w:val="hybridMultilevel"/>
    <w:tmpl w:val="3F68EFB4"/>
    <w:lvl w:ilvl="0" w:tplc="FEFE0DE4">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511132E4"/>
    <w:multiLevelType w:val="hybridMultilevel"/>
    <w:tmpl w:val="207449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21B280B"/>
    <w:multiLevelType w:val="hybridMultilevel"/>
    <w:tmpl w:val="C712A9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79A64D5"/>
    <w:multiLevelType w:val="hybridMultilevel"/>
    <w:tmpl w:val="0C046070"/>
    <w:lvl w:ilvl="0" w:tplc="0C0A0005">
      <w:start w:val="1"/>
      <w:numFmt w:val="bullet"/>
      <w:lvlText w:val=""/>
      <w:lvlJc w:val="left"/>
      <w:pPr>
        <w:ind w:left="1350" w:hanging="360"/>
      </w:pPr>
      <w:rPr>
        <w:rFonts w:ascii="Wingdings" w:hAnsi="Wingdings" w:hint="default"/>
      </w:rPr>
    </w:lvl>
    <w:lvl w:ilvl="1" w:tplc="0C0A0003">
      <w:start w:val="1"/>
      <w:numFmt w:val="bullet"/>
      <w:lvlText w:val="o"/>
      <w:lvlJc w:val="left"/>
      <w:pPr>
        <w:ind w:left="2070" w:hanging="360"/>
      </w:pPr>
      <w:rPr>
        <w:rFonts w:ascii="Courier New" w:hAnsi="Courier New" w:cs="Courier New" w:hint="default"/>
      </w:rPr>
    </w:lvl>
    <w:lvl w:ilvl="2" w:tplc="0C0A0005">
      <w:start w:val="1"/>
      <w:numFmt w:val="bullet"/>
      <w:lvlText w:val=""/>
      <w:lvlJc w:val="left"/>
      <w:pPr>
        <w:ind w:left="2790" w:hanging="360"/>
      </w:pPr>
      <w:rPr>
        <w:rFonts w:ascii="Wingdings" w:hAnsi="Wingdings" w:hint="default"/>
      </w:rPr>
    </w:lvl>
    <w:lvl w:ilvl="3" w:tplc="0C0A0001">
      <w:start w:val="1"/>
      <w:numFmt w:val="bullet"/>
      <w:lvlText w:val=""/>
      <w:lvlJc w:val="left"/>
      <w:pPr>
        <w:ind w:left="3510" w:hanging="360"/>
      </w:pPr>
      <w:rPr>
        <w:rFonts w:ascii="Symbol" w:hAnsi="Symbol" w:hint="default"/>
      </w:rPr>
    </w:lvl>
    <w:lvl w:ilvl="4" w:tplc="0C0A0003">
      <w:start w:val="1"/>
      <w:numFmt w:val="bullet"/>
      <w:lvlText w:val="o"/>
      <w:lvlJc w:val="left"/>
      <w:pPr>
        <w:ind w:left="4230" w:hanging="360"/>
      </w:pPr>
      <w:rPr>
        <w:rFonts w:ascii="Courier New" w:hAnsi="Courier New" w:cs="Courier New" w:hint="default"/>
      </w:rPr>
    </w:lvl>
    <w:lvl w:ilvl="5" w:tplc="0C0A0005">
      <w:start w:val="1"/>
      <w:numFmt w:val="bullet"/>
      <w:lvlText w:val=""/>
      <w:lvlJc w:val="left"/>
      <w:pPr>
        <w:ind w:left="4950" w:hanging="360"/>
      </w:pPr>
      <w:rPr>
        <w:rFonts w:ascii="Wingdings" w:hAnsi="Wingdings" w:hint="default"/>
      </w:rPr>
    </w:lvl>
    <w:lvl w:ilvl="6" w:tplc="0C0A0001">
      <w:start w:val="1"/>
      <w:numFmt w:val="bullet"/>
      <w:lvlText w:val=""/>
      <w:lvlJc w:val="left"/>
      <w:pPr>
        <w:ind w:left="5670" w:hanging="360"/>
      </w:pPr>
      <w:rPr>
        <w:rFonts w:ascii="Symbol" w:hAnsi="Symbol" w:hint="default"/>
      </w:rPr>
    </w:lvl>
    <w:lvl w:ilvl="7" w:tplc="0C0A0003">
      <w:start w:val="1"/>
      <w:numFmt w:val="bullet"/>
      <w:lvlText w:val="o"/>
      <w:lvlJc w:val="left"/>
      <w:pPr>
        <w:ind w:left="6390" w:hanging="360"/>
      </w:pPr>
      <w:rPr>
        <w:rFonts w:ascii="Courier New" w:hAnsi="Courier New" w:cs="Courier New" w:hint="default"/>
      </w:rPr>
    </w:lvl>
    <w:lvl w:ilvl="8" w:tplc="0C0A0005">
      <w:start w:val="1"/>
      <w:numFmt w:val="bullet"/>
      <w:lvlText w:val=""/>
      <w:lvlJc w:val="left"/>
      <w:pPr>
        <w:ind w:left="7110" w:hanging="360"/>
      </w:pPr>
      <w:rPr>
        <w:rFonts w:ascii="Wingdings" w:hAnsi="Wingdings" w:hint="default"/>
      </w:rPr>
    </w:lvl>
  </w:abstractNum>
  <w:abstractNum w:abstractNumId="32" w15:restartNumberingAfterBreak="0">
    <w:nsid w:val="583F217A"/>
    <w:multiLevelType w:val="hybridMultilevel"/>
    <w:tmpl w:val="F2B80A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E6D4BE9"/>
    <w:multiLevelType w:val="hybridMultilevel"/>
    <w:tmpl w:val="9AD42658"/>
    <w:lvl w:ilvl="0" w:tplc="0C0A0005">
      <w:start w:val="1"/>
      <w:numFmt w:val="bullet"/>
      <w:lvlText w:val=""/>
      <w:lvlJc w:val="left"/>
      <w:pPr>
        <w:ind w:left="1287" w:hanging="360"/>
      </w:pPr>
      <w:rPr>
        <w:rFonts w:ascii="Wingdings" w:hAnsi="Wingdings"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34" w15:restartNumberingAfterBreak="0">
    <w:nsid w:val="65694194"/>
    <w:multiLevelType w:val="hybridMultilevel"/>
    <w:tmpl w:val="0D26C8A0"/>
    <w:lvl w:ilvl="0" w:tplc="4370B4FA">
      <w:start w:val="1"/>
      <w:numFmt w:val="bullet"/>
      <w:lvlText w:val="•"/>
      <w:lvlJc w:val="left"/>
      <w:pPr>
        <w:tabs>
          <w:tab w:val="num" w:pos="720"/>
        </w:tabs>
        <w:ind w:left="720" w:hanging="360"/>
      </w:pPr>
      <w:rPr>
        <w:rFonts w:ascii="Times New Roman" w:hAnsi="Times New Roman" w:hint="default"/>
      </w:rPr>
    </w:lvl>
    <w:lvl w:ilvl="1" w:tplc="71CC0796" w:tentative="1">
      <w:start w:val="1"/>
      <w:numFmt w:val="bullet"/>
      <w:lvlText w:val="•"/>
      <w:lvlJc w:val="left"/>
      <w:pPr>
        <w:tabs>
          <w:tab w:val="num" w:pos="1440"/>
        </w:tabs>
        <w:ind w:left="1440" w:hanging="360"/>
      </w:pPr>
      <w:rPr>
        <w:rFonts w:ascii="Times New Roman" w:hAnsi="Times New Roman" w:hint="default"/>
      </w:rPr>
    </w:lvl>
    <w:lvl w:ilvl="2" w:tplc="62EC7B56" w:tentative="1">
      <w:start w:val="1"/>
      <w:numFmt w:val="bullet"/>
      <w:lvlText w:val="•"/>
      <w:lvlJc w:val="left"/>
      <w:pPr>
        <w:tabs>
          <w:tab w:val="num" w:pos="2160"/>
        </w:tabs>
        <w:ind w:left="2160" w:hanging="360"/>
      </w:pPr>
      <w:rPr>
        <w:rFonts w:ascii="Times New Roman" w:hAnsi="Times New Roman" w:hint="default"/>
      </w:rPr>
    </w:lvl>
    <w:lvl w:ilvl="3" w:tplc="2EAE3408" w:tentative="1">
      <w:start w:val="1"/>
      <w:numFmt w:val="bullet"/>
      <w:lvlText w:val="•"/>
      <w:lvlJc w:val="left"/>
      <w:pPr>
        <w:tabs>
          <w:tab w:val="num" w:pos="2880"/>
        </w:tabs>
        <w:ind w:left="2880" w:hanging="360"/>
      </w:pPr>
      <w:rPr>
        <w:rFonts w:ascii="Times New Roman" w:hAnsi="Times New Roman" w:hint="default"/>
      </w:rPr>
    </w:lvl>
    <w:lvl w:ilvl="4" w:tplc="728A87EE" w:tentative="1">
      <w:start w:val="1"/>
      <w:numFmt w:val="bullet"/>
      <w:lvlText w:val="•"/>
      <w:lvlJc w:val="left"/>
      <w:pPr>
        <w:tabs>
          <w:tab w:val="num" w:pos="3600"/>
        </w:tabs>
        <w:ind w:left="3600" w:hanging="360"/>
      </w:pPr>
      <w:rPr>
        <w:rFonts w:ascii="Times New Roman" w:hAnsi="Times New Roman" w:hint="default"/>
      </w:rPr>
    </w:lvl>
    <w:lvl w:ilvl="5" w:tplc="4C1AEE72" w:tentative="1">
      <w:start w:val="1"/>
      <w:numFmt w:val="bullet"/>
      <w:lvlText w:val="•"/>
      <w:lvlJc w:val="left"/>
      <w:pPr>
        <w:tabs>
          <w:tab w:val="num" w:pos="4320"/>
        </w:tabs>
        <w:ind w:left="4320" w:hanging="360"/>
      </w:pPr>
      <w:rPr>
        <w:rFonts w:ascii="Times New Roman" w:hAnsi="Times New Roman" w:hint="default"/>
      </w:rPr>
    </w:lvl>
    <w:lvl w:ilvl="6" w:tplc="3E76A332" w:tentative="1">
      <w:start w:val="1"/>
      <w:numFmt w:val="bullet"/>
      <w:lvlText w:val="•"/>
      <w:lvlJc w:val="left"/>
      <w:pPr>
        <w:tabs>
          <w:tab w:val="num" w:pos="5040"/>
        </w:tabs>
        <w:ind w:left="5040" w:hanging="360"/>
      </w:pPr>
      <w:rPr>
        <w:rFonts w:ascii="Times New Roman" w:hAnsi="Times New Roman" w:hint="default"/>
      </w:rPr>
    </w:lvl>
    <w:lvl w:ilvl="7" w:tplc="68586C46" w:tentative="1">
      <w:start w:val="1"/>
      <w:numFmt w:val="bullet"/>
      <w:lvlText w:val="•"/>
      <w:lvlJc w:val="left"/>
      <w:pPr>
        <w:tabs>
          <w:tab w:val="num" w:pos="5760"/>
        </w:tabs>
        <w:ind w:left="5760" w:hanging="360"/>
      </w:pPr>
      <w:rPr>
        <w:rFonts w:ascii="Times New Roman" w:hAnsi="Times New Roman" w:hint="default"/>
      </w:rPr>
    </w:lvl>
    <w:lvl w:ilvl="8" w:tplc="21AAEEDA"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65942B42"/>
    <w:multiLevelType w:val="hybridMultilevel"/>
    <w:tmpl w:val="5FD8513C"/>
    <w:lvl w:ilvl="0" w:tplc="AD320D88">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6FE6810"/>
    <w:multiLevelType w:val="hybridMultilevel"/>
    <w:tmpl w:val="E6363F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76E2CA7"/>
    <w:multiLevelType w:val="hybridMultilevel"/>
    <w:tmpl w:val="9FE241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A0D3534"/>
    <w:multiLevelType w:val="hybridMultilevel"/>
    <w:tmpl w:val="B13A8B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0" w15:restartNumberingAfterBreak="0">
    <w:nsid w:val="6C6E100B"/>
    <w:multiLevelType w:val="hybridMultilevel"/>
    <w:tmpl w:val="9552DE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DD268A5"/>
    <w:multiLevelType w:val="hybridMultilevel"/>
    <w:tmpl w:val="532A00EC"/>
    <w:lvl w:ilvl="0" w:tplc="0C0A0001">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E370D38"/>
    <w:multiLevelType w:val="hybridMultilevel"/>
    <w:tmpl w:val="BDF27B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3" w15:restartNumberingAfterBreak="0">
    <w:nsid w:val="71201D82"/>
    <w:multiLevelType w:val="hybridMultilevel"/>
    <w:tmpl w:val="70529D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12150E2"/>
    <w:multiLevelType w:val="hybridMultilevel"/>
    <w:tmpl w:val="451229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6F972D4"/>
    <w:multiLevelType w:val="hybridMultilevel"/>
    <w:tmpl w:val="E1C285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9E51DC9"/>
    <w:multiLevelType w:val="hybridMultilevel"/>
    <w:tmpl w:val="BCC44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A36471C"/>
    <w:multiLevelType w:val="hybridMultilevel"/>
    <w:tmpl w:val="8A8698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AF276B4"/>
    <w:multiLevelType w:val="hybridMultilevel"/>
    <w:tmpl w:val="74985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B280AA6"/>
    <w:multiLevelType w:val="hybridMultilevel"/>
    <w:tmpl w:val="6EB6D6B2"/>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BA41A3D"/>
    <w:multiLevelType w:val="hybridMultilevel"/>
    <w:tmpl w:val="8CE6B8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9"/>
  </w:num>
  <w:num w:numId="2">
    <w:abstractNumId w:val="6"/>
  </w:num>
  <w:num w:numId="3">
    <w:abstractNumId w:val="2"/>
  </w:num>
  <w:num w:numId="4">
    <w:abstractNumId w:val="1"/>
  </w:num>
  <w:num w:numId="5">
    <w:abstractNumId w:val="0"/>
  </w:num>
  <w:num w:numId="6">
    <w:abstractNumId w:val="25"/>
  </w:num>
  <w:num w:numId="7">
    <w:abstractNumId w:val="23"/>
  </w:num>
  <w:num w:numId="8">
    <w:abstractNumId w:val="26"/>
  </w:num>
  <w:num w:numId="9">
    <w:abstractNumId w:val="42"/>
  </w:num>
  <w:num w:numId="10">
    <w:abstractNumId w:val="10"/>
  </w:num>
  <w:num w:numId="11">
    <w:abstractNumId w:val="32"/>
  </w:num>
  <w:num w:numId="12">
    <w:abstractNumId w:val="38"/>
  </w:num>
  <w:num w:numId="13">
    <w:abstractNumId w:val="43"/>
  </w:num>
  <w:num w:numId="14">
    <w:abstractNumId w:val="13"/>
  </w:num>
  <w:num w:numId="15">
    <w:abstractNumId w:val="24"/>
  </w:num>
  <w:num w:numId="16">
    <w:abstractNumId w:val="19"/>
  </w:num>
  <w:num w:numId="17">
    <w:abstractNumId w:val="48"/>
  </w:num>
  <w:num w:numId="18">
    <w:abstractNumId w:val="12"/>
  </w:num>
  <w:num w:numId="19">
    <w:abstractNumId w:val="44"/>
  </w:num>
  <w:num w:numId="20">
    <w:abstractNumId w:val="45"/>
  </w:num>
  <w:num w:numId="21">
    <w:abstractNumId w:val="15"/>
  </w:num>
  <w:num w:numId="22">
    <w:abstractNumId w:val="41"/>
  </w:num>
  <w:num w:numId="23">
    <w:abstractNumId w:val="31"/>
  </w:num>
  <w:num w:numId="24">
    <w:abstractNumId w:val="33"/>
  </w:num>
  <w:num w:numId="25">
    <w:abstractNumId w:val="7"/>
  </w:num>
  <w:num w:numId="26">
    <w:abstractNumId w:val="35"/>
  </w:num>
  <w:num w:numId="27">
    <w:abstractNumId w:val="34"/>
  </w:num>
  <w:num w:numId="28">
    <w:abstractNumId w:val="9"/>
  </w:num>
  <w:num w:numId="29">
    <w:abstractNumId w:val="50"/>
  </w:num>
  <w:num w:numId="30">
    <w:abstractNumId w:val="28"/>
  </w:num>
  <w:num w:numId="31">
    <w:abstractNumId w:val="18"/>
  </w:num>
  <w:num w:numId="32">
    <w:abstractNumId w:val="22"/>
  </w:num>
  <w:num w:numId="33">
    <w:abstractNumId w:val="36"/>
  </w:num>
  <w:num w:numId="34">
    <w:abstractNumId w:val="11"/>
  </w:num>
  <w:num w:numId="35">
    <w:abstractNumId w:val="46"/>
  </w:num>
  <w:num w:numId="36">
    <w:abstractNumId w:val="37"/>
  </w:num>
  <w:num w:numId="37">
    <w:abstractNumId w:val="47"/>
  </w:num>
  <w:num w:numId="38">
    <w:abstractNumId w:val="21"/>
  </w:num>
  <w:num w:numId="39">
    <w:abstractNumId w:val="20"/>
  </w:num>
  <w:num w:numId="40">
    <w:abstractNumId w:val="29"/>
  </w:num>
  <w:num w:numId="41">
    <w:abstractNumId w:val="17"/>
  </w:num>
  <w:num w:numId="42">
    <w:abstractNumId w:val="17"/>
  </w:num>
  <w:num w:numId="43">
    <w:abstractNumId w:val="27"/>
  </w:num>
  <w:num w:numId="44">
    <w:abstractNumId w:val="30"/>
  </w:num>
  <w:num w:numId="45">
    <w:abstractNumId w:val="8"/>
  </w:num>
  <w:num w:numId="46">
    <w:abstractNumId w:val="14"/>
  </w:num>
  <w:num w:numId="47">
    <w:abstractNumId w:val="49"/>
  </w:num>
  <w:num w:numId="48">
    <w:abstractNumId w:val="40"/>
  </w:num>
  <w:num w:numId="49">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1468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355"/>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1180"/>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1468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valor-anadido/plataforma-por-la-legalidad" TargetMode="External"/><Relationship Id="rId13" Type="http://schemas.openxmlformats.org/officeDocument/2006/relationships/hyperlink" Target="https://www.autocontrol.es/autocontrol/quienes-somo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utocontrol.es/autocontrol/quienes-somo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sumo.castillalamancha.es/noticias/el-gobierno-de-castilla-la-mancha-constituye-la-comision-regional-para-la-coordinacion-d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feda.es/actualidad/noticias/item/12204-la-plataforma-por-la-legalidad-de-feda-pide-corregir-las-campanas-de-dia-sin-iva-que-se-contraponen-a-concienciar-sobre-el-pago-impuesto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consumo.castillalamancha.es/node/23782"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94C6F-F7C8-40B5-9E7D-0D449B620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887</Words>
  <Characters>5826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6700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2021-03-16T11:17:00Z</cp:lastPrinted>
  <dcterms:created xsi:type="dcterms:W3CDTF">2023-03-09T17:53:00Z</dcterms:created>
  <dcterms:modified xsi:type="dcterms:W3CDTF">2023-03-09T17:53:00Z</dcterms:modified>
</cp:coreProperties>
</file>