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2F15A6">
      <w:pPr>
        <w:tabs>
          <w:tab w:val="left" w:pos="4080"/>
        </w:tabs>
        <w:jc w:val="center"/>
        <w:textAlignment w:val="baseline"/>
        <w:rPr>
          <w:rFonts w:ascii="Tahoma" w:hAnsi="Tahoma" w:cs="Tahoma"/>
          <w:bCs/>
          <w:color w:val="000000"/>
          <w:sz w:val="22"/>
          <w:szCs w:val="22"/>
          <w:bdr w:val="none" w:sz="0" w:space="0" w:color="auto" w:frame="1"/>
          <w:lang w:val="es-ES"/>
        </w:rPr>
      </w:pPr>
    </w:p>
    <w:p w:rsidR="00843208" w:rsidRDefault="00843208" w:rsidP="00843208">
      <w:pPr>
        <w:jc w:val="center"/>
        <w:rPr>
          <w:rFonts w:ascii="Tahoma" w:hAnsi="Tahoma" w:cs="Tahoma"/>
          <w:b/>
          <w:bCs/>
          <w:sz w:val="32"/>
          <w:szCs w:val="32"/>
        </w:rPr>
      </w:pPr>
    </w:p>
    <w:p w:rsidR="002F15A6" w:rsidRDefault="002F15A6" w:rsidP="002F15A6">
      <w:pPr>
        <w:jc w:val="right"/>
        <w:rPr>
          <w:rFonts w:ascii="Tahoma" w:hAnsi="Tahoma" w:cs="Tahoma"/>
          <w:bCs/>
          <w:sz w:val="22"/>
          <w:szCs w:val="22"/>
        </w:rPr>
      </w:pPr>
    </w:p>
    <w:p w:rsidR="002F15A6" w:rsidRDefault="002F15A6" w:rsidP="002F15A6">
      <w:pPr>
        <w:jc w:val="right"/>
        <w:rPr>
          <w:rFonts w:ascii="Tahoma" w:hAnsi="Tahoma" w:cs="Tahoma"/>
          <w:bCs/>
          <w:sz w:val="22"/>
          <w:szCs w:val="22"/>
        </w:rPr>
      </w:pPr>
    </w:p>
    <w:p w:rsidR="002F15A6" w:rsidRDefault="002F15A6" w:rsidP="002F15A6">
      <w:pPr>
        <w:jc w:val="right"/>
        <w:rPr>
          <w:rFonts w:ascii="Tahoma" w:hAnsi="Tahoma" w:cs="Tahoma"/>
          <w:bCs/>
          <w:sz w:val="22"/>
          <w:szCs w:val="22"/>
        </w:rPr>
      </w:pPr>
      <w:r>
        <w:rPr>
          <w:rFonts w:ascii="Tahoma" w:hAnsi="Tahoma" w:cs="Tahoma"/>
          <w:bCs/>
          <w:sz w:val="22"/>
          <w:szCs w:val="22"/>
        </w:rPr>
        <w:t>Albacete, 2</w:t>
      </w:r>
      <w:r>
        <w:rPr>
          <w:rFonts w:ascii="Tahoma" w:hAnsi="Tahoma" w:cs="Tahoma"/>
          <w:bCs/>
          <w:sz w:val="22"/>
          <w:szCs w:val="22"/>
        </w:rPr>
        <w:t>1 marzo de 2023</w:t>
      </w:r>
    </w:p>
    <w:p w:rsidR="002F15A6" w:rsidRDefault="002F15A6" w:rsidP="002F15A6">
      <w:pPr>
        <w:ind w:right="-142" w:hanging="142"/>
        <w:jc w:val="center"/>
        <w:rPr>
          <w:rFonts w:ascii="Tahoma" w:hAnsi="Tahoma" w:cs="Tahoma"/>
          <w:b/>
          <w:bCs/>
          <w:sz w:val="32"/>
          <w:szCs w:val="32"/>
        </w:rPr>
      </w:pPr>
    </w:p>
    <w:p w:rsidR="002F15A6" w:rsidRPr="002F15A6" w:rsidRDefault="002F15A6" w:rsidP="002F15A6">
      <w:pPr>
        <w:jc w:val="center"/>
        <w:rPr>
          <w:rFonts w:ascii="Tahoma" w:hAnsi="Tahoma" w:cs="Tahoma"/>
          <w:b/>
          <w:bCs/>
          <w:sz w:val="32"/>
        </w:rPr>
      </w:pPr>
      <w:r w:rsidRPr="002F15A6">
        <w:rPr>
          <w:rFonts w:ascii="Tahoma" w:hAnsi="Tahoma" w:cs="Tahoma"/>
          <w:b/>
          <w:bCs/>
          <w:sz w:val="32"/>
        </w:rPr>
        <w:t xml:space="preserve">FEDA pone en marcha la </w:t>
      </w:r>
      <w:r w:rsidR="00263704">
        <w:rPr>
          <w:rFonts w:ascii="Tahoma" w:hAnsi="Tahoma" w:cs="Tahoma"/>
          <w:b/>
          <w:bCs/>
          <w:sz w:val="32"/>
        </w:rPr>
        <w:t xml:space="preserve">convocatoria de la </w:t>
      </w:r>
      <w:r w:rsidRPr="002F15A6">
        <w:rPr>
          <w:rFonts w:ascii="Tahoma" w:hAnsi="Tahoma" w:cs="Tahoma"/>
          <w:b/>
          <w:bCs/>
          <w:sz w:val="32"/>
        </w:rPr>
        <w:t xml:space="preserve">XXIV Edición de los </w:t>
      </w:r>
      <w:bookmarkStart w:id="0" w:name="_GoBack"/>
      <w:bookmarkEnd w:id="0"/>
      <w:r w:rsidRPr="002F15A6">
        <w:rPr>
          <w:rFonts w:ascii="Tahoma" w:hAnsi="Tahoma" w:cs="Tahoma"/>
          <w:b/>
          <w:bCs/>
          <w:sz w:val="32"/>
        </w:rPr>
        <w:t>Premios Empresariales San Juan</w:t>
      </w:r>
    </w:p>
    <w:p w:rsidR="002F15A6" w:rsidRDefault="002F15A6" w:rsidP="002F15A6">
      <w:pPr>
        <w:jc w:val="center"/>
        <w:rPr>
          <w:rFonts w:ascii="Tahoma" w:hAnsi="Tahoma" w:cs="Tahoma"/>
          <w:bCs/>
          <w:sz w:val="32"/>
        </w:rPr>
      </w:pPr>
    </w:p>
    <w:p w:rsidR="002F15A6" w:rsidRDefault="002F15A6" w:rsidP="002F15A6">
      <w:pPr>
        <w:jc w:val="center"/>
        <w:rPr>
          <w:rFonts w:ascii="Tahoma" w:hAnsi="Tahoma" w:cs="Tahoma"/>
          <w:bCs/>
          <w:sz w:val="32"/>
        </w:rPr>
      </w:pPr>
    </w:p>
    <w:p w:rsidR="002F15A6" w:rsidRDefault="002F15A6" w:rsidP="002F15A6">
      <w:pPr>
        <w:numPr>
          <w:ilvl w:val="0"/>
          <w:numId w:val="11"/>
        </w:numPr>
        <w:jc w:val="center"/>
        <w:rPr>
          <w:rFonts w:ascii="Tahoma" w:hAnsi="Tahoma" w:cs="Tahoma"/>
          <w:b/>
          <w:bCs/>
          <w:sz w:val="22"/>
          <w:szCs w:val="22"/>
        </w:rPr>
      </w:pPr>
      <w:r>
        <w:rPr>
          <w:rFonts w:ascii="Tahoma" w:hAnsi="Tahoma" w:cs="Tahoma"/>
          <w:b/>
          <w:bCs/>
          <w:sz w:val="22"/>
          <w:szCs w:val="22"/>
        </w:rPr>
        <w:t>Fidelidad de las instituciones públicas y privadas que apoyan estos galardones de Albacete y provincia</w:t>
      </w:r>
    </w:p>
    <w:p w:rsidR="009D6A77" w:rsidRDefault="009D6A77" w:rsidP="009D6A77">
      <w:pPr>
        <w:ind w:left="720"/>
        <w:rPr>
          <w:rFonts w:ascii="Tahoma" w:hAnsi="Tahoma" w:cs="Tahoma"/>
          <w:b/>
          <w:bCs/>
          <w:sz w:val="22"/>
          <w:szCs w:val="22"/>
        </w:rPr>
      </w:pPr>
    </w:p>
    <w:p w:rsidR="009D6A77" w:rsidRDefault="009D6A77" w:rsidP="002F15A6">
      <w:pPr>
        <w:numPr>
          <w:ilvl w:val="0"/>
          <w:numId w:val="11"/>
        </w:numPr>
        <w:jc w:val="center"/>
        <w:rPr>
          <w:rFonts w:ascii="Tahoma" w:hAnsi="Tahoma" w:cs="Tahoma"/>
          <w:b/>
          <w:bCs/>
          <w:sz w:val="22"/>
          <w:szCs w:val="22"/>
        </w:rPr>
      </w:pPr>
      <w:r>
        <w:rPr>
          <w:rFonts w:ascii="Tahoma" w:hAnsi="Tahoma" w:cs="Tahoma"/>
          <w:b/>
          <w:bCs/>
          <w:sz w:val="22"/>
          <w:szCs w:val="22"/>
        </w:rPr>
        <w:t>La reunión del Jurado está prevista para el día 16 de mayo y la Gala de entrega se celebrará un mes después en el Palacio de Congresos “Ciudad de Albacete”</w:t>
      </w:r>
    </w:p>
    <w:p w:rsidR="002F15A6" w:rsidRDefault="002F15A6" w:rsidP="002F15A6">
      <w:pPr>
        <w:ind w:left="720"/>
        <w:rPr>
          <w:rFonts w:ascii="Tahoma" w:hAnsi="Tahoma" w:cs="Tahoma"/>
          <w:b/>
          <w:bCs/>
          <w:sz w:val="22"/>
          <w:szCs w:val="22"/>
        </w:rPr>
      </w:pPr>
    </w:p>
    <w:p w:rsidR="002F15A6" w:rsidRDefault="002F15A6" w:rsidP="002F15A6">
      <w:pPr>
        <w:pStyle w:val="Prrafodelista"/>
        <w:rPr>
          <w:rFonts w:ascii="Tahoma" w:hAnsi="Tahoma" w:cs="Tahoma"/>
          <w:b/>
          <w:bCs/>
          <w:sz w:val="16"/>
          <w:szCs w:val="16"/>
        </w:rPr>
      </w:pPr>
    </w:p>
    <w:p w:rsidR="002F15A6" w:rsidRDefault="002F15A6" w:rsidP="002F15A6">
      <w:pPr>
        <w:ind w:left="720"/>
        <w:rPr>
          <w:rFonts w:ascii="Tahoma" w:hAnsi="Tahoma" w:cs="Tahoma"/>
          <w:b/>
          <w:bCs/>
          <w:sz w:val="16"/>
          <w:szCs w:val="16"/>
        </w:rPr>
      </w:pPr>
    </w:p>
    <w:p w:rsidR="002F15A6" w:rsidRDefault="002F15A6" w:rsidP="002F15A6">
      <w:pPr>
        <w:rPr>
          <w:rFonts w:ascii="Tahoma" w:hAnsi="Tahoma" w:cs="Tahoma"/>
          <w:sz w:val="22"/>
          <w:szCs w:val="22"/>
        </w:rPr>
      </w:pPr>
      <w:r>
        <w:rPr>
          <w:rFonts w:ascii="Tahoma" w:hAnsi="Tahoma" w:cs="Tahoma"/>
          <w:bCs/>
          <w:sz w:val="22"/>
          <w:szCs w:val="22"/>
        </w:rPr>
        <w:t>El Comité Ejecutivo de FEDA, en su reunión del pasado mes de enero</w:t>
      </w:r>
      <w:r w:rsidR="009D6A77">
        <w:rPr>
          <w:rFonts w:ascii="Tahoma" w:hAnsi="Tahoma" w:cs="Tahoma"/>
          <w:bCs/>
          <w:sz w:val="22"/>
          <w:szCs w:val="22"/>
        </w:rPr>
        <w:t>, y ratificada en la reunión conjunta con la Junta Directiva del pasado día 1 de marzo,</w:t>
      </w:r>
      <w:r>
        <w:rPr>
          <w:rFonts w:ascii="Tahoma" w:hAnsi="Tahoma" w:cs="Tahoma"/>
          <w:bCs/>
          <w:sz w:val="22"/>
          <w:szCs w:val="22"/>
        </w:rPr>
        <w:t xml:space="preserve"> ya aprobó la convocatoria de </w:t>
      </w:r>
      <w:hyperlink r:id="rId8" w:history="1">
        <w:r>
          <w:rPr>
            <w:rStyle w:val="Hipervnculo"/>
            <w:rFonts w:ascii="Tahoma" w:hAnsi="Tahoma" w:cs="Tahoma"/>
            <w:bCs/>
            <w:sz w:val="22"/>
            <w:szCs w:val="22"/>
          </w:rPr>
          <w:t>los Premios Empresariales San Juan</w:t>
        </w:r>
      </w:hyperlink>
      <w:r>
        <w:rPr>
          <w:rFonts w:ascii="Tahoma" w:hAnsi="Tahoma" w:cs="Tahoma"/>
          <w:bCs/>
          <w:sz w:val="22"/>
          <w:szCs w:val="22"/>
        </w:rPr>
        <w:t>, que en este 202</w:t>
      </w:r>
      <w:r w:rsidR="009D6A77">
        <w:rPr>
          <w:rFonts w:ascii="Tahoma" w:hAnsi="Tahoma" w:cs="Tahoma"/>
          <w:bCs/>
          <w:sz w:val="22"/>
          <w:szCs w:val="22"/>
        </w:rPr>
        <w:t>3</w:t>
      </w:r>
      <w:r>
        <w:rPr>
          <w:rFonts w:ascii="Tahoma" w:hAnsi="Tahoma" w:cs="Tahoma"/>
          <w:bCs/>
          <w:sz w:val="22"/>
          <w:szCs w:val="22"/>
        </w:rPr>
        <w:t xml:space="preserve"> llegan a su XX</w:t>
      </w:r>
      <w:r w:rsidR="009D6A77">
        <w:rPr>
          <w:rFonts w:ascii="Tahoma" w:hAnsi="Tahoma" w:cs="Tahoma"/>
          <w:bCs/>
          <w:sz w:val="22"/>
          <w:szCs w:val="22"/>
        </w:rPr>
        <w:t>IV</w:t>
      </w:r>
      <w:r>
        <w:rPr>
          <w:rFonts w:ascii="Tahoma" w:hAnsi="Tahoma" w:cs="Tahoma"/>
          <w:bCs/>
          <w:sz w:val="22"/>
          <w:szCs w:val="22"/>
        </w:rPr>
        <w:t xml:space="preserve"> Edición. El Comité Ejecutivo, que preside Artemio Pérez Alfaro, ha de</w:t>
      </w:r>
      <w:r>
        <w:rPr>
          <w:rFonts w:ascii="Tahoma" w:hAnsi="Tahoma" w:cs="Tahoma"/>
          <w:sz w:val="22"/>
          <w:szCs w:val="22"/>
        </w:rPr>
        <w:t>stacado en primer lugar la fidelidad de las instituciones públicas y entidades privadas que apoyan a la Confederación en estos galardones y que han reafirmado una edición más su compromiso con estos galardones empresariales.</w:t>
      </w:r>
    </w:p>
    <w:p w:rsidR="002F15A6" w:rsidRDefault="002F15A6" w:rsidP="002F15A6">
      <w:pPr>
        <w:ind w:firstLine="709"/>
        <w:rPr>
          <w:rFonts w:ascii="Tahoma" w:hAnsi="Tahoma" w:cs="Tahoma"/>
          <w:sz w:val="22"/>
          <w:szCs w:val="22"/>
        </w:rPr>
      </w:pPr>
    </w:p>
    <w:p w:rsidR="002F15A6" w:rsidRDefault="002F15A6" w:rsidP="002F15A6">
      <w:pPr>
        <w:rPr>
          <w:rFonts w:ascii="Tahoma" w:hAnsi="Tahoma" w:cs="Tahoma"/>
          <w:sz w:val="22"/>
          <w:szCs w:val="22"/>
        </w:rPr>
      </w:pPr>
      <w:r>
        <w:rPr>
          <w:rFonts w:ascii="Tahoma" w:hAnsi="Tahoma" w:cs="Tahoma"/>
          <w:sz w:val="22"/>
          <w:szCs w:val="22"/>
        </w:rPr>
        <w:t xml:space="preserve">Continúan con FEDA como colaboradores </w:t>
      </w:r>
      <w:hyperlink r:id="rId9" w:history="1">
        <w:r>
          <w:rPr>
            <w:rStyle w:val="Hipervnculo"/>
            <w:rFonts w:ascii="Tahoma" w:hAnsi="Tahoma" w:cs="Tahoma"/>
            <w:color w:val="2F5496" w:themeColor="accent5" w:themeShade="BF"/>
            <w:sz w:val="22"/>
            <w:szCs w:val="22"/>
            <w:shd w:val="clear" w:color="auto" w:fill="FFFFFF"/>
          </w:rPr>
          <w:t>CaixaBank</w:t>
        </w:r>
      </w:hyperlink>
      <w:r>
        <w:rPr>
          <w:rFonts w:ascii="Tahoma" w:hAnsi="Tahoma" w:cs="Tahoma"/>
          <w:color w:val="2F5496" w:themeColor="accent5" w:themeShade="BF"/>
          <w:sz w:val="22"/>
          <w:szCs w:val="22"/>
          <w:shd w:val="clear" w:color="auto" w:fill="FFFFFF"/>
        </w:rPr>
        <w:t>, </w:t>
      </w:r>
      <w:hyperlink r:id="rId10" w:history="1">
        <w:r>
          <w:rPr>
            <w:rStyle w:val="Hipervnculo"/>
            <w:rFonts w:ascii="Tahoma" w:hAnsi="Tahoma" w:cs="Tahoma"/>
            <w:color w:val="2F5496" w:themeColor="accent5" w:themeShade="BF"/>
            <w:sz w:val="22"/>
            <w:szCs w:val="22"/>
            <w:shd w:val="clear" w:color="auto" w:fill="FFFFFF"/>
          </w:rPr>
          <w:t>BBVA</w:t>
        </w:r>
      </w:hyperlink>
      <w:r>
        <w:rPr>
          <w:rFonts w:ascii="Tahoma" w:hAnsi="Tahoma" w:cs="Tahoma"/>
          <w:color w:val="2F5496" w:themeColor="accent5" w:themeShade="BF"/>
          <w:sz w:val="22"/>
          <w:szCs w:val="22"/>
          <w:shd w:val="clear" w:color="auto" w:fill="FFFFFF"/>
        </w:rPr>
        <w:t>, </w:t>
      </w:r>
      <w:hyperlink r:id="rId11" w:history="1">
        <w:r>
          <w:rPr>
            <w:rStyle w:val="Hipervnculo"/>
            <w:rFonts w:ascii="Tahoma" w:hAnsi="Tahoma" w:cs="Tahoma"/>
            <w:color w:val="2F5496" w:themeColor="accent5" w:themeShade="BF"/>
            <w:sz w:val="22"/>
            <w:szCs w:val="22"/>
            <w:shd w:val="clear" w:color="auto" w:fill="FFFFFF"/>
          </w:rPr>
          <w:t>Banco Sabadell</w:t>
        </w:r>
      </w:hyperlink>
      <w:r>
        <w:rPr>
          <w:rFonts w:ascii="Tahoma" w:hAnsi="Tahoma" w:cs="Tahoma"/>
          <w:color w:val="2F5496" w:themeColor="accent5" w:themeShade="BF"/>
          <w:sz w:val="22"/>
          <w:szCs w:val="22"/>
          <w:shd w:val="clear" w:color="auto" w:fill="FFFFFF"/>
        </w:rPr>
        <w:t>, </w:t>
      </w:r>
      <w:hyperlink r:id="rId12" w:history="1">
        <w:r w:rsidR="009D6A77" w:rsidRPr="009D6A77">
          <w:rPr>
            <w:rStyle w:val="Hipervnculo"/>
            <w:rFonts w:ascii="Tahoma" w:hAnsi="Tahoma" w:cs="Tahoma"/>
            <w:sz w:val="22"/>
            <w:szCs w:val="22"/>
            <w:shd w:val="clear" w:color="auto" w:fill="FFFFFF"/>
          </w:rPr>
          <w:t>Junta de Comunidades de Castilla-La Mancha</w:t>
        </w:r>
        <w:r w:rsidRPr="009D6A77">
          <w:rPr>
            <w:rStyle w:val="Hipervnculo"/>
            <w:rFonts w:ascii="Tahoma" w:hAnsi="Tahoma" w:cs="Tahoma"/>
            <w:sz w:val="22"/>
            <w:szCs w:val="22"/>
            <w:shd w:val="clear" w:color="auto" w:fill="FFFFFF"/>
          </w:rPr>
          <w:t>,</w:t>
        </w:r>
      </w:hyperlink>
      <w:r>
        <w:rPr>
          <w:rFonts w:ascii="Tahoma" w:hAnsi="Tahoma" w:cs="Tahoma"/>
          <w:color w:val="2F5496" w:themeColor="accent5" w:themeShade="BF"/>
          <w:sz w:val="22"/>
          <w:szCs w:val="22"/>
          <w:shd w:val="clear" w:color="auto" w:fill="FFFFFF"/>
        </w:rPr>
        <w:t> </w:t>
      </w:r>
      <w:hyperlink r:id="rId13" w:history="1">
        <w:r>
          <w:rPr>
            <w:rStyle w:val="Hipervnculo"/>
            <w:rFonts w:ascii="Tahoma" w:hAnsi="Tahoma" w:cs="Tahoma"/>
            <w:color w:val="2F5496" w:themeColor="accent5" w:themeShade="BF"/>
            <w:sz w:val="22"/>
            <w:szCs w:val="22"/>
            <w:shd w:val="clear" w:color="auto" w:fill="FFFFFF"/>
          </w:rPr>
          <w:t>Eurocaja Rural</w:t>
        </w:r>
      </w:hyperlink>
      <w:r>
        <w:rPr>
          <w:rFonts w:ascii="Tahoma" w:hAnsi="Tahoma" w:cs="Tahoma"/>
          <w:color w:val="2F5496" w:themeColor="accent5" w:themeShade="BF"/>
          <w:sz w:val="22"/>
          <w:szCs w:val="22"/>
          <w:shd w:val="clear" w:color="auto" w:fill="FFFFFF"/>
        </w:rPr>
        <w:t>, </w:t>
      </w:r>
      <w:hyperlink r:id="rId14" w:history="1">
        <w:r>
          <w:rPr>
            <w:rStyle w:val="Hipervnculo"/>
            <w:rFonts w:ascii="Tahoma" w:hAnsi="Tahoma" w:cs="Tahoma"/>
            <w:color w:val="2F5496" w:themeColor="accent5" w:themeShade="BF"/>
            <w:sz w:val="22"/>
            <w:szCs w:val="22"/>
            <w:shd w:val="clear" w:color="auto" w:fill="FFFFFF"/>
          </w:rPr>
          <w:t>Diputación Provincial de Albacete</w:t>
        </w:r>
      </w:hyperlink>
      <w:r>
        <w:rPr>
          <w:rFonts w:ascii="Tahoma" w:hAnsi="Tahoma" w:cs="Tahoma"/>
          <w:color w:val="2F5496" w:themeColor="accent5" w:themeShade="BF"/>
          <w:sz w:val="22"/>
          <w:szCs w:val="22"/>
          <w:shd w:val="clear" w:color="auto" w:fill="FFFFFF"/>
        </w:rPr>
        <w:t>, </w:t>
      </w:r>
      <w:hyperlink r:id="rId15" w:history="1">
        <w:r>
          <w:rPr>
            <w:rStyle w:val="Hipervnculo"/>
            <w:rFonts w:ascii="Tahoma" w:hAnsi="Tahoma" w:cs="Tahoma"/>
            <w:color w:val="2F5496" w:themeColor="accent5" w:themeShade="BF"/>
            <w:sz w:val="22"/>
            <w:szCs w:val="22"/>
            <w:shd w:val="clear" w:color="auto" w:fill="FFFFFF"/>
          </w:rPr>
          <w:t>La Tribuna de Albacete</w:t>
        </w:r>
      </w:hyperlink>
      <w:r>
        <w:rPr>
          <w:rFonts w:ascii="Tahoma" w:hAnsi="Tahoma" w:cs="Tahoma"/>
          <w:color w:val="2F5496" w:themeColor="accent5" w:themeShade="BF"/>
          <w:sz w:val="22"/>
          <w:szCs w:val="22"/>
          <w:shd w:val="clear" w:color="auto" w:fill="FFFFFF"/>
        </w:rPr>
        <w:t>, </w:t>
      </w:r>
      <w:hyperlink r:id="rId16" w:history="1">
        <w:r>
          <w:rPr>
            <w:rStyle w:val="Hipervnculo"/>
            <w:rFonts w:ascii="Tahoma" w:hAnsi="Tahoma" w:cs="Tahoma"/>
            <w:color w:val="2F5496" w:themeColor="accent5" w:themeShade="BF"/>
            <w:sz w:val="22"/>
            <w:szCs w:val="22"/>
            <w:shd w:val="clear" w:color="auto" w:fill="FFFFFF"/>
          </w:rPr>
          <w:t>Soliss Seguros</w:t>
        </w:r>
      </w:hyperlink>
      <w:r>
        <w:rPr>
          <w:rFonts w:ascii="Tahoma" w:hAnsi="Tahoma" w:cs="Tahoma"/>
          <w:color w:val="2F5496" w:themeColor="accent5" w:themeShade="BF"/>
          <w:sz w:val="22"/>
          <w:szCs w:val="22"/>
          <w:shd w:val="clear" w:color="auto" w:fill="FFFFFF"/>
        </w:rPr>
        <w:t>, </w:t>
      </w:r>
      <w:hyperlink r:id="rId17" w:history="1">
        <w:r>
          <w:rPr>
            <w:rStyle w:val="Hipervnculo"/>
            <w:rFonts w:ascii="Tahoma" w:hAnsi="Tahoma" w:cs="Tahoma"/>
            <w:color w:val="2F5496" w:themeColor="accent5" w:themeShade="BF"/>
            <w:sz w:val="22"/>
            <w:szCs w:val="22"/>
            <w:shd w:val="clear" w:color="auto" w:fill="FFFFFF"/>
          </w:rPr>
          <w:t>Beatriz Hoteles</w:t>
        </w:r>
      </w:hyperlink>
      <w:r>
        <w:rPr>
          <w:rFonts w:ascii="Tahoma" w:hAnsi="Tahoma" w:cs="Tahoma"/>
          <w:color w:val="2F5496" w:themeColor="accent5" w:themeShade="BF"/>
          <w:sz w:val="22"/>
          <w:szCs w:val="22"/>
          <w:shd w:val="clear" w:color="auto" w:fill="FFFFFF"/>
        </w:rPr>
        <w:t>, </w:t>
      </w:r>
      <w:hyperlink r:id="rId18" w:history="1">
        <w:r>
          <w:rPr>
            <w:rStyle w:val="Hipervnculo"/>
            <w:rFonts w:ascii="Tahoma" w:hAnsi="Tahoma" w:cs="Tahoma"/>
            <w:color w:val="2F5496" w:themeColor="accent5" w:themeShade="BF"/>
            <w:sz w:val="22"/>
            <w:szCs w:val="22"/>
            <w:shd w:val="clear" w:color="auto" w:fill="FFFFFF"/>
          </w:rPr>
          <w:t>Banco Santander</w:t>
        </w:r>
      </w:hyperlink>
      <w:r w:rsidR="006B45E1">
        <w:rPr>
          <w:rFonts w:ascii="Tahoma" w:hAnsi="Tahoma" w:cs="Tahoma"/>
          <w:color w:val="2F5496" w:themeColor="accent5" w:themeShade="BF"/>
          <w:sz w:val="22"/>
          <w:szCs w:val="22"/>
          <w:shd w:val="clear" w:color="auto" w:fill="FFFFFF"/>
        </w:rPr>
        <w:t xml:space="preserve">, </w:t>
      </w:r>
      <w:hyperlink r:id="rId19" w:history="1">
        <w:r w:rsidR="006B45E1" w:rsidRPr="006B45E1">
          <w:rPr>
            <w:rStyle w:val="Hipervnculo"/>
            <w:rFonts w:ascii="Tahoma" w:hAnsi="Tahoma" w:cs="Tahoma"/>
            <w:sz w:val="22"/>
            <w:szCs w:val="22"/>
            <w:shd w:val="clear" w:color="auto" w:fill="FFFFFF"/>
          </w:rPr>
          <w:t xml:space="preserve">Fundación “la </w:t>
        </w:r>
        <w:r w:rsidR="006B45E1" w:rsidRPr="006B45E1">
          <w:rPr>
            <w:rStyle w:val="Hipervnculo"/>
            <w:rFonts w:ascii="Tahoma" w:hAnsi="Tahoma" w:cs="Tahoma"/>
            <w:sz w:val="22"/>
            <w:szCs w:val="22"/>
            <w:shd w:val="clear" w:color="auto" w:fill="FFFFFF"/>
          </w:rPr>
          <w:t>Caixa”</w:t>
        </w:r>
      </w:hyperlink>
      <w:r>
        <w:rPr>
          <w:rFonts w:ascii="Tahoma" w:hAnsi="Tahoma" w:cs="Tahoma"/>
          <w:color w:val="2F5496" w:themeColor="accent5" w:themeShade="BF"/>
          <w:sz w:val="22"/>
          <w:szCs w:val="22"/>
          <w:shd w:val="clear" w:color="auto" w:fill="FFFFFF"/>
        </w:rPr>
        <w:t xml:space="preserve"> y el </w:t>
      </w:r>
      <w:hyperlink r:id="rId20" w:history="1">
        <w:r>
          <w:rPr>
            <w:rStyle w:val="Hipervnculo"/>
            <w:rFonts w:ascii="Tahoma" w:hAnsi="Tahoma" w:cs="Tahoma"/>
            <w:color w:val="2F5496" w:themeColor="accent5" w:themeShade="BF"/>
            <w:sz w:val="22"/>
            <w:szCs w:val="22"/>
            <w:shd w:val="clear" w:color="auto" w:fill="FFFFFF"/>
          </w:rPr>
          <w:t>Ayuntamiento de Albacete</w:t>
        </w:r>
      </w:hyperlink>
      <w:r>
        <w:rPr>
          <w:rFonts w:ascii="Tahoma" w:hAnsi="Tahoma" w:cs="Tahoma"/>
          <w:color w:val="2F5496" w:themeColor="accent5" w:themeShade="BF"/>
          <w:sz w:val="22"/>
          <w:szCs w:val="22"/>
          <w:shd w:val="clear" w:color="auto" w:fill="FFFFFF"/>
        </w:rPr>
        <w:t>. </w:t>
      </w:r>
      <w:hyperlink r:id="rId21" w:history="1">
        <w:r>
          <w:rPr>
            <w:rStyle w:val="Hipervnculo"/>
            <w:rFonts w:ascii="Tahoma" w:hAnsi="Tahoma" w:cs="Tahoma"/>
            <w:color w:val="2F5496" w:themeColor="accent5" w:themeShade="BF"/>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2" w:history="1">
        <w:r>
          <w:rPr>
            <w:rStyle w:val="Hipervnculo"/>
            <w:rFonts w:ascii="Tahoma" w:hAnsi="Tahoma" w:cs="Tahoma"/>
            <w:sz w:val="22"/>
            <w:szCs w:val="22"/>
          </w:rPr>
          <w:t>Globalcaja</w:t>
        </w:r>
      </w:hyperlink>
      <w:r>
        <w:rPr>
          <w:rFonts w:ascii="Tahoma" w:hAnsi="Tahoma" w:cs="Tahoma"/>
          <w:sz w:val="22"/>
          <w:szCs w:val="22"/>
        </w:rPr>
        <w:t xml:space="preserve"> que va de la mano de FEDA en la Gala de entrega de estos Premios.</w:t>
      </w:r>
    </w:p>
    <w:p w:rsidR="002F15A6" w:rsidRDefault="002F15A6" w:rsidP="002F15A6">
      <w:pPr>
        <w:rPr>
          <w:rFonts w:ascii="Tahoma" w:hAnsi="Tahoma" w:cs="Tahoma"/>
          <w:sz w:val="22"/>
          <w:szCs w:val="22"/>
        </w:rPr>
      </w:pPr>
    </w:p>
    <w:p w:rsidR="006B45E1" w:rsidRDefault="006B45E1" w:rsidP="002F15A6">
      <w:pPr>
        <w:rPr>
          <w:rFonts w:ascii="Tahoma" w:hAnsi="Tahoma" w:cs="Tahoma"/>
          <w:sz w:val="22"/>
          <w:szCs w:val="22"/>
        </w:rPr>
      </w:pPr>
      <w:r>
        <w:rPr>
          <w:rFonts w:ascii="Tahoma" w:hAnsi="Tahoma" w:cs="Tahoma"/>
          <w:sz w:val="22"/>
          <w:szCs w:val="22"/>
        </w:rPr>
        <w:t xml:space="preserve">En la antesala de llegar a sus bodas de plata, los Premios San Juan ya han fijado en el calendario sus dos fechas claves. En primer lugar, el 16 de mayo, día en el que tendrá lugar la reunión del </w:t>
      </w:r>
      <w:r w:rsidR="00933D06">
        <w:rPr>
          <w:rFonts w:ascii="Tahoma" w:hAnsi="Tahoma" w:cs="Tahoma"/>
          <w:sz w:val="22"/>
          <w:szCs w:val="22"/>
        </w:rPr>
        <w:t>Jurado, y un mes de después, el 16 de junio, viernes, se celebrará la Gala de entrega, en el marco del Palacio de Congresos “Ciudad de Albacete”.</w:t>
      </w:r>
    </w:p>
    <w:p w:rsidR="002F15A6" w:rsidRDefault="002F15A6" w:rsidP="002F15A6">
      <w:pPr>
        <w:rPr>
          <w:rFonts w:ascii="Tahoma" w:hAnsi="Tahoma" w:cs="Tahoma"/>
          <w:sz w:val="22"/>
          <w:szCs w:val="22"/>
        </w:rPr>
      </w:pPr>
    </w:p>
    <w:p w:rsidR="002F15A6" w:rsidRDefault="002F15A6" w:rsidP="002F15A6">
      <w:pPr>
        <w:pStyle w:val="Ttulo1"/>
        <w:rPr>
          <w:rFonts w:ascii="Tahoma" w:hAnsi="Tahoma" w:cs="Tahoma"/>
          <w:sz w:val="22"/>
          <w:szCs w:val="22"/>
        </w:rPr>
      </w:pPr>
    </w:p>
    <w:p w:rsidR="002F15A6" w:rsidRDefault="002F15A6" w:rsidP="002F15A6">
      <w:pPr>
        <w:pStyle w:val="Ttulo1"/>
        <w:rPr>
          <w:rFonts w:ascii="Tahoma" w:hAnsi="Tahoma" w:cs="Tahoma"/>
          <w:sz w:val="22"/>
          <w:szCs w:val="22"/>
        </w:rPr>
      </w:pPr>
      <w:r>
        <w:rPr>
          <w:rFonts w:ascii="Tahoma" w:hAnsi="Tahoma" w:cs="Tahoma"/>
          <w:sz w:val="22"/>
          <w:szCs w:val="22"/>
        </w:rPr>
        <w:t>Doce Premios y una Mención Especial del Jurado</w:t>
      </w:r>
    </w:p>
    <w:p w:rsidR="002F15A6" w:rsidRDefault="002F15A6" w:rsidP="002F15A6">
      <w:pPr>
        <w:rPr>
          <w:rFonts w:ascii="Tahoma" w:hAnsi="Tahoma" w:cs="Tahoma"/>
          <w:sz w:val="22"/>
          <w:szCs w:val="22"/>
        </w:rPr>
      </w:pPr>
    </w:p>
    <w:p w:rsidR="002F15A6" w:rsidRDefault="002F15A6" w:rsidP="002F15A6">
      <w:pPr>
        <w:rPr>
          <w:rFonts w:ascii="Tahoma" w:hAnsi="Tahoma" w:cs="Tahoma"/>
          <w:sz w:val="22"/>
          <w:szCs w:val="22"/>
        </w:rPr>
      </w:pPr>
      <w:r>
        <w:rPr>
          <w:rFonts w:ascii="Tahoma" w:hAnsi="Tahoma" w:cs="Tahoma"/>
          <w:sz w:val="22"/>
          <w:szCs w:val="22"/>
        </w:rPr>
        <w:t>Están convocados, al igual que las anteriores ediciones, doce Premios en diferentes categorías y la Mención Especial del Jurado. El primer paso es la votación de las juntas directivas de las asociaciones integradas en la Confederación a las empresas propuesta por FEDA y el resultado será el que falle el Jurado,</w:t>
      </w:r>
      <w:r w:rsidR="00933D06">
        <w:rPr>
          <w:rFonts w:ascii="Tahoma" w:hAnsi="Tahoma" w:cs="Tahoma"/>
          <w:sz w:val="22"/>
          <w:szCs w:val="22"/>
        </w:rPr>
        <w:t xml:space="preserve"> en esa reunión del 16 de mayo</w:t>
      </w:r>
      <w:r>
        <w:rPr>
          <w:rFonts w:ascii="Tahoma" w:hAnsi="Tahoma" w:cs="Tahoma"/>
          <w:sz w:val="22"/>
          <w:szCs w:val="22"/>
        </w:rPr>
        <w:t xml:space="preserve">. </w:t>
      </w: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2F15A6" w:rsidRDefault="002F15A6" w:rsidP="002F15A6">
      <w:pPr>
        <w:rPr>
          <w:rFonts w:ascii="Tahoma" w:hAnsi="Tahoma" w:cs="Tahoma"/>
          <w:sz w:val="22"/>
          <w:szCs w:val="22"/>
        </w:rPr>
      </w:pPr>
    </w:p>
    <w:p w:rsidR="00933D06" w:rsidRDefault="00933D06" w:rsidP="002F15A6">
      <w:pPr>
        <w:rPr>
          <w:rFonts w:ascii="Tahoma" w:hAnsi="Tahoma" w:cs="Tahoma"/>
          <w:sz w:val="22"/>
          <w:szCs w:val="22"/>
        </w:rPr>
      </w:pPr>
    </w:p>
    <w:p w:rsidR="002F15A6" w:rsidRDefault="002F15A6" w:rsidP="002F15A6">
      <w:pPr>
        <w:rPr>
          <w:rFonts w:ascii="Tahoma" w:hAnsi="Tahoma" w:cs="Tahoma"/>
          <w:sz w:val="22"/>
          <w:szCs w:val="22"/>
        </w:rPr>
      </w:pPr>
      <w:r>
        <w:rPr>
          <w:rFonts w:ascii="Tahoma" w:hAnsi="Tahoma" w:cs="Tahoma"/>
          <w:sz w:val="22"/>
          <w:szCs w:val="22"/>
        </w:rPr>
        <w:t>Según recogen las Bases de los Premios San Juan se presentan un máximo de cuatro empresas por cada categoría y en la misma hay un amplio panorama de los diferentes sectores empresariales en toda la provincia, desde Albacete capital, pasando por Hellín, La Roda, Villarrobledo, Almansa, Caudete, o cualquier otra localidad de la provincia.</w:t>
      </w:r>
    </w:p>
    <w:p w:rsidR="002F15A6" w:rsidRDefault="002F15A6" w:rsidP="002F15A6">
      <w:pPr>
        <w:rPr>
          <w:rFonts w:ascii="Tahoma" w:hAnsi="Tahoma" w:cs="Tahoma"/>
          <w:sz w:val="22"/>
          <w:szCs w:val="22"/>
        </w:rPr>
      </w:pPr>
    </w:p>
    <w:p w:rsidR="002F15A6" w:rsidRDefault="002F15A6" w:rsidP="002F15A6">
      <w:pPr>
        <w:rPr>
          <w:rFonts w:ascii="Tahoma" w:hAnsi="Tahoma" w:cs="Tahoma"/>
          <w:sz w:val="22"/>
          <w:szCs w:val="22"/>
        </w:rPr>
      </w:pPr>
      <w:r>
        <w:rPr>
          <w:rFonts w:ascii="Tahoma" w:hAnsi="Tahoma" w:cs="Tahoma"/>
          <w:sz w:val="22"/>
          <w:szCs w:val="22"/>
        </w:rPr>
        <w:t>Los doce Premios son:</w:t>
      </w:r>
    </w:p>
    <w:p w:rsidR="002F15A6" w:rsidRDefault="002F15A6" w:rsidP="002F15A6">
      <w:pPr>
        <w:rPr>
          <w:rFonts w:ascii="Tahoma" w:hAnsi="Tahoma" w:cs="Tahoma"/>
          <w:sz w:val="22"/>
          <w:szCs w:val="22"/>
        </w:rPr>
      </w:pPr>
    </w:p>
    <w:p w:rsidR="002F15A6" w:rsidRDefault="002F15A6" w:rsidP="002F15A6">
      <w:pPr>
        <w:numPr>
          <w:ilvl w:val="0"/>
          <w:numId w:val="12"/>
        </w:numPr>
        <w:rPr>
          <w:rFonts w:ascii="Tahoma" w:hAnsi="Tahoma" w:cs="Tahoma"/>
          <w:b/>
          <w:bCs/>
          <w:sz w:val="22"/>
          <w:szCs w:val="22"/>
        </w:rPr>
      </w:pPr>
      <w:r>
        <w:rPr>
          <w:rFonts w:ascii="Tahoma" w:hAnsi="Tahoma" w:cs="Tahoma"/>
          <w:b/>
          <w:bCs/>
          <w:sz w:val="22"/>
          <w:szCs w:val="22"/>
        </w:rPr>
        <w:t>Empresa Familiar</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Empresa en Nuevas Tecnologías e Innovación</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Empresa Exportadora</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Empresa Inversora en Calidad y Medio Ambiente</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al Joven Empresario</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 la Mujer Empresaria</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 la Empresa Tradicional</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 la Asociación Empresarial</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 la Promoción de Albacete</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 la Iniciativa Emprendedora</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 la Responsabilidad Social</w:t>
      </w:r>
    </w:p>
    <w:p w:rsidR="002F15A6" w:rsidRDefault="002F15A6" w:rsidP="002F15A6">
      <w:pPr>
        <w:numPr>
          <w:ilvl w:val="0"/>
          <w:numId w:val="12"/>
        </w:numPr>
        <w:rPr>
          <w:rFonts w:ascii="Tahoma" w:hAnsi="Tahoma" w:cs="Tahoma"/>
          <w:sz w:val="22"/>
          <w:szCs w:val="22"/>
        </w:rPr>
      </w:pPr>
      <w:r>
        <w:rPr>
          <w:rFonts w:ascii="Tahoma" w:hAnsi="Tahoma" w:cs="Tahoma"/>
          <w:b/>
          <w:bCs/>
          <w:sz w:val="22"/>
          <w:szCs w:val="22"/>
        </w:rPr>
        <w:t>Premio al Mérito Empresarial</w:t>
      </w:r>
    </w:p>
    <w:p w:rsidR="002F15A6" w:rsidRDefault="002F15A6" w:rsidP="002F15A6">
      <w:pPr>
        <w:pStyle w:val="Piedepgina"/>
        <w:tabs>
          <w:tab w:val="left" w:pos="708"/>
        </w:tabs>
        <w:rPr>
          <w:rFonts w:ascii="Tahoma" w:hAnsi="Tahoma" w:cs="Tahoma"/>
          <w:sz w:val="22"/>
          <w:szCs w:val="22"/>
        </w:rPr>
      </w:pPr>
    </w:p>
    <w:p w:rsidR="002F15A6" w:rsidRDefault="002F15A6" w:rsidP="002F15A6">
      <w:pPr>
        <w:rPr>
          <w:rFonts w:ascii="Tahoma" w:hAnsi="Tahoma" w:cs="Tahoma"/>
          <w:sz w:val="22"/>
          <w:szCs w:val="22"/>
        </w:rPr>
      </w:pPr>
      <w:r>
        <w:rPr>
          <w:rFonts w:ascii="Tahoma" w:hAnsi="Tahoma" w:cs="Tahoma"/>
          <w:sz w:val="22"/>
          <w:szCs w:val="22"/>
        </w:rPr>
        <w:t xml:space="preserve">Asimismo y según recogen las Bases, el Jurado otorgará una </w:t>
      </w:r>
      <w:r>
        <w:rPr>
          <w:rFonts w:ascii="Tahoma" w:hAnsi="Tahoma" w:cs="Tahoma"/>
          <w:bCs/>
          <w:iCs/>
          <w:sz w:val="22"/>
          <w:szCs w:val="22"/>
        </w:rPr>
        <w:t>Mención Especial</w:t>
      </w:r>
      <w:r>
        <w:rPr>
          <w:rFonts w:ascii="Tahoma" w:hAnsi="Tahoma" w:cs="Tahoma"/>
          <w:sz w:val="22"/>
          <w:szCs w:val="22"/>
        </w:rPr>
        <w:t xml:space="preserve"> a personas,  instituciones o entidades que se hayan distinguido en la defensa de los intereses económicos, sociales y profesionales de los empresarios de la provincia de Albacete</w:t>
      </w:r>
      <w:r w:rsidR="00933D06">
        <w:rPr>
          <w:rFonts w:ascii="Tahoma" w:hAnsi="Tahoma" w:cs="Tahoma"/>
          <w:sz w:val="22"/>
          <w:szCs w:val="22"/>
        </w:rPr>
        <w:t xml:space="preserve"> y el desarrollo empresarial</w:t>
      </w:r>
      <w:r>
        <w:rPr>
          <w:rFonts w:ascii="Tahoma" w:hAnsi="Tahoma" w:cs="Tahoma"/>
          <w:sz w:val="22"/>
          <w:szCs w:val="22"/>
        </w:rPr>
        <w:t>. Y, al mismo, tiempo, puede otorgar a aquellas menciones que en cada edición considere oportunas, como ha ocurrido en las dos últimas ediciones.</w:t>
      </w:r>
    </w:p>
    <w:p w:rsidR="002F15A6" w:rsidRDefault="002F15A6" w:rsidP="002F15A6">
      <w:pPr>
        <w:ind w:firstLine="709"/>
        <w:rPr>
          <w:rFonts w:ascii="Tahoma" w:hAnsi="Tahoma" w:cs="Tahoma"/>
          <w:sz w:val="22"/>
          <w:szCs w:val="22"/>
        </w:rPr>
      </w:pPr>
    </w:p>
    <w:p w:rsidR="002F15A6" w:rsidRDefault="002F15A6" w:rsidP="002F15A6">
      <w:pPr>
        <w:pStyle w:val="Sangradetextonormal"/>
        <w:ind w:firstLine="0"/>
        <w:rPr>
          <w:rFonts w:ascii="Tahoma" w:hAnsi="Tahoma" w:cs="Tahoma"/>
          <w:sz w:val="22"/>
          <w:szCs w:val="22"/>
        </w:rPr>
      </w:pPr>
      <w:r>
        <w:rPr>
          <w:rFonts w:ascii="Tahoma" w:hAnsi="Tahoma" w:cs="Tahoma"/>
          <w:sz w:val="22"/>
          <w:szCs w:val="22"/>
        </w:rPr>
        <w:t>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w:t>
      </w:r>
    </w:p>
    <w:p w:rsidR="002F15A6" w:rsidRDefault="002F15A6" w:rsidP="002F15A6">
      <w:pPr>
        <w:pStyle w:val="Sangradetextonormal"/>
        <w:ind w:firstLine="426"/>
        <w:rPr>
          <w:rFonts w:ascii="Tahoma" w:hAnsi="Tahoma" w:cs="Tahoma"/>
          <w:sz w:val="22"/>
          <w:szCs w:val="22"/>
        </w:rPr>
      </w:pPr>
    </w:p>
    <w:p w:rsidR="002F15A6" w:rsidRDefault="002F15A6" w:rsidP="00933D06">
      <w:pPr>
        <w:rPr>
          <w:rFonts w:ascii="Tahoma" w:hAnsi="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reconocer públicamente</w:t>
      </w:r>
      <w:r>
        <w:rPr>
          <w:rFonts w:ascii="Tahoma" w:hAnsi="Tahoma" w:cs="Tahoma"/>
          <w:sz w:val="22"/>
          <w:szCs w:val="22"/>
          <w:shd w:val="clear" w:color="auto" w:fill="FFFFFF"/>
        </w:rPr>
        <w:t>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w:t>
      </w:r>
      <w:r w:rsidR="00933D06">
        <w:rPr>
          <w:rFonts w:ascii="Tahoma" w:hAnsi="Tahoma" w:cs="Tahoma"/>
          <w:sz w:val="22"/>
          <w:szCs w:val="22"/>
          <w:shd w:val="clear" w:color="auto" w:fill="FFFFFF"/>
        </w:rPr>
        <w:t xml:space="preserve">, así como la </w:t>
      </w:r>
      <w:r w:rsidR="00933D06">
        <w:rPr>
          <w:rFonts w:ascii="Tahoma" w:hAnsi="Tahoma" w:cs="Tahoma"/>
          <w:sz w:val="22"/>
          <w:szCs w:val="22"/>
        </w:rPr>
        <w:t>actividad y dedicación de entidades sin ánimo de lucro y con un fin social al colectivo al que representen.</w:t>
      </w:r>
      <w:r w:rsidR="00933D06">
        <w:rPr>
          <w:rFonts w:ascii="Tahoma" w:hAnsi="Tahoma" w:cs="Tahoma"/>
          <w:sz w:val="22"/>
          <w:szCs w:val="22"/>
        </w:rPr>
        <w:t xml:space="preserve"> Los Premios también reconocen la involucración de la empresa en la sociedad.</w:t>
      </w:r>
    </w:p>
    <w:p w:rsidR="002F15A6" w:rsidRDefault="002F15A6" w:rsidP="002F15A6">
      <w:pPr>
        <w:rPr>
          <w:rFonts w:ascii="Tahoma" w:hAnsi="Tahoma" w:cs="Tahoma"/>
          <w:sz w:val="22"/>
          <w:szCs w:val="22"/>
        </w:rPr>
      </w:pPr>
    </w:p>
    <w:p w:rsidR="00933D06" w:rsidRDefault="002F15A6" w:rsidP="002F15A6">
      <w:pPr>
        <w:rPr>
          <w:rFonts w:ascii="Tahoma" w:hAnsi="Tahoma" w:cs="Tahoma"/>
          <w:sz w:val="22"/>
          <w:szCs w:val="22"/>
        </w:rPr>
      </w:pPr>
      <w:r>
        <w:rPr>
          <w:rFonts w:ascii="Tahoma" w:hAnsi="Tahoma" w:cs="Tahoma"/>
          <w:sz w:val="22"/>
          <w:szCs w:val="22"/>
        </w:rPr>
        <w:t xml:space="preserve">La convocatoria e institucionalización de unos Premios Empresariales en la provincia de Albacete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933D06" w:rsidRDefault="00933D06" w:rsidP="002F15A6">
      <w:pPr>
        <w:rPr>
          <w:rFonts w:ascii="Tahoma" w:hAnsi="Tahoma" w:cs="Tahoma"/>
          <w:sz w:val="22"/>
          <w:szCs w:val="22"/>
        </w:rPr>
      </w:pPr>
    </w:p>
    <w:p w:rsidR="002F15A6" w:rsidRDefault="002F15A6" w:rsidP="002F15A6">
      <w:pPr>
        <w:ind w:firstLine="708"/>
        <w:rPr>
          <w:rFonts w:ascii="Tahoma" w:hAnsi="Tahoma"/>
          <w:sz w:val="22"/>
          <w:szCs w:val="22"/>
        </w:rPr>
      </w:pPr>
    </w:p>
    <w:p w:rsidR="00933D06" w:rsidRDefault="00933D06" w:rsidP="002F15A6">
      <w:pPr>
        <w:pStyle w:val="Encabezado"/>
        <w:tabs>
          <w:tab w:val="left" w:pos="708"/>
        </w:tabs>
        <w:jc w:val="center"/>
        <w:rPr>
          <w:rFonts w:ascii="Tahoma" w:hAnsi="Tahoma" w:cs="Tahoma"/>
          <w:b/>
          <w:bCs/>
          <w:sz w:val="20"/>
          <w:u w:val="single"/>
        </w:rPr>
      </w:pPr>
    </w:p>
    <w:p w:rsidR="00933D06" w:rsidRDefault="00933D06" w:rsidP="002F15A6">
      <w:pPr>
        <w:pStyle w:val="Encabezado"/>
        <w:tabs>
          <w:tab w:val="left" w:pos="708"/>
        </w:tabs>
        <w:jc w:val="center"/>
        <w:rPr>
          <w:rFonts w:ascii="Tahoma" w:hAnsi="Tahoma" w:cs="Tahoma"/>
          <w:b/>
          <w:bCs/>
          <w:sz w:val="20"/>
          <w:u w:val="single"/>
        </w:rPr>
      </w:pPr>
    </w:p>
    <w:p w:rsidR="00933D06" w:rsidRDefault="00933D06" w:rsidP="002F15A6">
      <w:pPr>
        <w:pStyle w:val="Encabezado"/>
        <w:tabs>
          <w:tab w:val="left" w:pos="708"/>
        </w:tabs>
        <w:jc w:val="center"/>
        <w:rPr>
          <w:rFonts w:ascii="Tahoma" w:hAnsi="Tahoma" w:cs="Tahoma"/>
          <w:b/>
          <w:bCs/>
          <w:sz w:val="20"/>
          <w:u w:val="single"/>
        </w:rPr>
      </w:pPr>
    </w:p>
    <w:p w:rsidR="002F15A6" w:rsidRDefault="002F15A6" w:rsidP="002F15A6">
      <w:pPr>
        <w:pStyle w:val="Encabezado"/>
        <w:tabs>
          <w:tab w:val="left" w:pos="708"/>
        </w:tabs>
        <w:jc w:val="center"/>
        <w:rPr>
          <w:rFonts w:ascii="Tahoma" w:hAnsi="Tahoma" w:cs="Tahoma"/>
          <w:b/>
          <w:bCs/>
          <w:sz w:val="20"/>
          <w:u w:val="single"/>
        </w:rPr>
      </w:pPr>
      <w:r>
        <w:rPr>
          <w:rFonts w:ascii="Tahoma" w:hAnsi="Tahoma" w:cs="Tahoma"/>
          <w:b/>
          <w:bCs/>
          <w:sz w:val="20"/>
          <w:u w:val="single"/>
        </w:rPr>
        <w:t>Premios Empresariales San Juan’202</w:t>
      </w:r>
      <w:r w:rsidR="006B45E1">
        <w:rPr>
          <w:rFonts w:ascii="Tahoma" w:hAnsi="Tahoma" w:cs="Tahoma"/>
          <w:b/>
          <w:bCs/>
          <w:sz w:val="20"/>
          <w:u w:val="single"/>
        </w:rPr>
        <w:t>3</w:t>
      </w:r>
      <w:r>
        <w:rPr>
          <w:rFonts w:ascii="Tahoma" w:hAnsi="Tahoma" w:cs="Tahoma"/>
          <w:b/>
          <w:bCs/>
          <w:sz w:val="20"/>
          <w:u w:val="single"/>
        </w:rPr>
        <w:t>-XX</w:t>
      </w:r>
      <w:r w:rsidR="006B45E1">
        <w:rPr>
          <w:rFonts w:ascii="Tahoma" w:hAnsi="Tahoma" w:cs="Tahoma"/>
          <w:b/>
          <w:bCs/>
          <w:sz w:val="20"/>
          <w:u w:val="single"/>
        </w:rPr>
        <w:t>IV</w:t>
      </w:r>
      <w:r>
        <w:rPr>
          <w:rFonts w:ascii="Tahoma" w:hAnsi="Tahoma" w:cs="Tahoma"/>
          <w:b/>
          <w:bCs/>
          <w:sz w:val="20"/>
          <w:u w:val="single"/>
        </w:rPr>
        <w:t xml:space="preserve"> Edición</w:t>
      </w:r>
    </w:p>
    <w:p w:rsidR="002F15A6" w:rsidRDefault="002F15A6" w:rsidP="002F15A6">
      <w:pPr>
        <w:rPr>
          <w:sz w:val="20"/>
        </w:rPr>
      </w:pPr>
    </w:p>
    <w:p w:rsidR="002F15A6" w:rsidRDefault="002F15A6" w:rsidP="002F15A6">
      <w:pPr>
        <w:rPr>
          <w:sz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0"/>
        <w:gridCol w:w="504"/>
        <w:gridCol w:w="2757"/>
      </w:tblGrid>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pPr>
              <w:pStyle w:val="Ttulo4"/>
              <w:rPr>
                <w:rFonts w:ascii="Tahoma" w:hAnsi="Tahoma"/>
                <w:sz w:val="20"/>
              </w:rPr>
            </w:pPr>
          </w:p>
          <w:p w:rsidR="002F15A6" w:rsidRDefault="002F15A6">
            <w:pPr>
              <w:pStyle w:val="Ttulo4"/>
              <w:rPr>
                <w:rFonts w:ascii="Tahoma" w:hAnsi="Tahoma"/>
                <w:b/>
                <w:sz w:val="20"/>
              </w:rPr>
            </w:pPr>
            <w:r>
              <w:rPr>
                <w:rFonts w:ascii="Tahoma" w:hAnsi="Tahoma"/>
                <w:b/>
                <w:sz w:val="20"/>
              </w:rPr>
              <w:t>PREMIO</w:t>
            </w:r>
          </w:p>
        </w:tc>
        <w:tc>
          <w:tcPr>
            <w:tcW w:w="2757" w:type="dxa"/>
            <w:tcBorders>
              <w:top w:val="single" w:sz="4" w:space="0" w:color="auto"/>
              <w:left w:val="single" w:sz="4" w:space="0" w:color="auto"/>
              <w:bottom w:val="single" w:sz="4" w:space="0" w:color="auto"/>
              <w:right w:val="single" w:sz="4" w:space="0" w:color="auto"/>
            </w:tcBorders>
          </w:tcPr>
          <w:p w:rsidR="002F15A6" w:rsidRDefault="002F15A6">
            <w:pPr>
              <w:pStyle w:val="Ttulo4"/>
              <w:rPr>
                <w:rFonts w:ascii="Tahoma" w:hAnsi="Tahoma"/>
                <w:sz w:val="20"/>
              </w:rPr>
            </w:pPr>
          </w:p>
          <w:p w:rsidR="002F15A6" w:rsidRDefault="002F15A6">
            <w:pPr>
              <w:pStyle w:val="Ttulo4"/>
              <w:rPr>
                <w:rFonts w:ascii="Tahoma" w:hAnsi="Tahoma"/>
                <w:b/>
                <w:sz w:val="20"/>
              </w:rPr>
            </w:pPr>
            <w:r>
              <w:rPr>
                <w:rFonts w:ascii="Tahoma" w:hAnsi="Tahoma"/>
                <w:b/>
                <w:sz w:val="20"/>
              </w:rPr>
              <w:t>COLABORADORES</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3"/>
              </w:numPr>
              <w:rPr>
                <w:rFonts w:ascii="Tahoma" w:hAnsi="Tahoma"/>
                <w:b/>
                <w:sz w:val="20"/>
              </w:rPr>
            </w:pPr>
            <w:r>
              <w:rPr>
                <w:rFonts w:ascii="Tahoma" w:hAnsi="Tahoma"/>
                <w:b/>
                <w:sz w:val="20"/>
              </w:rPr>
              <w:t>Empresa Familiar</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pStyle w:val="Ttulo4"/>
              <w:rPr>
                <w:rFonts w:ascii="Tahoma" w:hAnsi="Tahoma"/>
                <w:sz w:val="20"/>
              </w:rPr>
            </w:pPr>
            <w:r>
              <w:rPr>
                <w:rFonts w:ascii="Tahoma" w:hAnsi="Tahoma"/>
                <w:sz w:val="20"/>
              </w:rPr>
              <w:t>CaixaBank</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4"/>
              </w:numPr>
              <w:rPr>
                <w:rFonts w:ascii="Tahoma" w:hAnsi="Tahoma"/>
                <w:b/>
                <w:sz w:val="20"/>
              </w:rPr>
            </w:pPr>
            <w:r>
              <w:rPr>
                <w:rFonts w:ascii="Tahoma" w:hAnsi="Tahoma"/>
                <w:b/>
                <w:sz w:val="20"/>
              </w:rPr>
              <w:t>Empresa en Nuevas Tecnologías e Innovación</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BBVA</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5"/>
              </w:numPr>
              <w:rPr>
                <w:rFonts w:ascii="Tahoma" w:hAnsi="Tahoma"/>
                <w:b/>
                <w:sz w:val="20"/>
              </w:rPr>
            </w:pPr>
            <w:r>
              <w:rPr>
                <w:rFonts w:ascii="Tahoma" w:hAnsi="Tahoma"/>
                <w:b/>
                <w:sz w:val="20"/>
              </w:rPr>
              <w:t>Empresa Exportadora</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 xml:space="preserve">Banco Sabadell </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6"/>
              </w:numPr>
              <w:rPr>
                <w:rFonts w:ascii="Tahoma" w:hAnsi="Tahoma"/>
                <w:b/>
                <w:sz w:val="20"/>
              </w:rPr>
            </w:pPr>
            <w:r>
              <w:rPr>
                <w:rFonts w:ascii="Tahoma" w:hAnsi="Tahoma"/>
                <w:b/>
                <w:sz w:val="20"/>
              </w:rPr>
              <w:t>Empresa Inversora</w:t>
            </w:r>
          </w:p>
          <w:p w:rsidR="002F15A6" w:rsidRDefault="002F15A6">
            <w:pPr>
              <w:ind w:left="360"/>
              <w:rPr>
                <w:rFonts w:ascii="Tahoma" w:hAnsi="Tahoma"/>
                <w:b/>
                <w:sz w:val="20"/>
              </w:rPr>
            </w:pPr>
            <w:r>
              <w:rPr>
                <w:rFonts w:ascii="Tahoma" w:hAnsi="Tahoma"/>
                <w:b/>
                <w:sz w:val="20"/>
              </w:rPr>
              <w:t>en Calidad y Medio Ambiente</w:t>
            </w:r>
          </w:p>
          <w:p w:rsidR="002F15A6" w:rsidRDefault="002F15A6">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6B45E1" w:rsidRDefault="006B45E1" w:rsidP="006B45E1">
            <w:pPr>
              <w:jc w:val="center"/>
              <w:rPr>
                <w:rFonts w:ascii="Tahoma" w:hAnsi="Tahoma"/>
                <w:sz w:val="20"/>
                <w:lang w:val="en-GB"/>
              </w:rPr>
            </w:pPr>
            <w:r>
              <w:rPr>
                <w:rFonts w:ascii="Tahoma" w:hAnsi="Tahoma"/>
                <w:sz w:val="20"/>
                <w:lang w:val="en-GB"/>
              </w:rPr>
              <w:t>Junta de Comunidades</w:t>
            </w:r>
          </w:p>
          <w:p w:rsidR="006B45E1" w:rsidRDefault="006B45E1" w:rsidP="006B45E1">
            <w:pPr>
              <w:jc w:val="center"/>
              <w:rPr>
                <w:rFonts w:ascii="Tahoma" w:hAnsi="Tahoma"/>
                <w:sz w:val="20"/>
                <w:lang w:val="en-GB"/>
              </w:rPr>
            </w:pPr>
            <w:r>
              <w:rPr>
                <w:rFonts w:ascii="Tahoma" w:hAnsi="Tahoma"/>
                <w:sz w:val="20"/>
                <w:lang w:val="en-GB"/>
              </w:rPr>
              <w:t>Castilla-La Mancha</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7"/>
              </w:numPr>
              <w:rPr>
                <w:rFonts w:ascii="Tahoma" w:hAnsi="Tahoma"/>
                <w:b/>
                <w:sz w:val="20"/>
              </w:rPr>
            </w:pPr>
            <w:r>
              <w:rPr>
                <w:rFonts w:ascii="Tahoma" w:hAnsi="Tahoma"/>
                <w:b/>
                <w:sz w:val="20"/>
              </w:rPr>
              <w:t>Joven Empresario</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Eurocaja Rural</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8"/>
              </w:numPr>
              <w:rPr>
                <w:rFonts w:ascii="Tahoma" w:hAnsi="Tahoma"/>
                <w:b/>
                <w:sz w:val="20"/>
              </w:rPr>
            </w:pPr>
            <w:r>
              <w:rPr>
                <w:rFonts w:ascii="Tahoma" w:hAnsi="Tahoma"/>
                <w:b/>
                <w:sz w:val="20"/>
              </w:rPr>
              <w:t>Mujer Empresaria</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Diputación Provincial</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8"/>
              </w:numPr>
              <w:rPr>
                <w:rFonts w:ascii="Tahoma" w:hAnsi="Tahoma"/>
                <w:b/>
                <w:sz w:val="20"/>
              </w:rPr>
            </w:pPr>
            <w:r>
              <w:rPr>
                <w:rFonts w:ascii="Tahoma" w:hAnsi="Tahoma"/>
                <w:b/>
                <w:sz w:val="20"/>
              </w:rPr>
              <w:t>Empresa Tradicional</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La Tribuna de Albacete</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8"/>
              </w:numPr>
              <w:rPr>
                <w:rFonts w:ascii="Tahoma" w:hAnsi="Tahoma"/>
                <w:b/>
                <w:sz w:val="20"/>
              </w:rPr>
            </w:pPr>
            <w:r>
              <w:rPr>
                <w:rFonts w:ascii="Tahoma" w:hAnsi="Tahoma"/>
                <w:b/>
                <w:sz w:val="20"/>
              </w:rPr>
              <w:t>Asociación Empresarial</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Soliss Seguros</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8"/>
              </w:numPr>
              <w:rPr>
                <w:rFonts w:ascii="Tahoma" w:hAnsi="Tahoma"/>
                <w:b/>
                <w:sz w:val="20"/>
              </w:rPr>
            </w:pPr>
            <w:r>
              <w:rPr>
                <w:rFonts w:ascii="Tahoma" w:hAnsi="Tahoma"/>
                <w:b/>
                <w:sz w:val="20"/>
              </w:rPr>
              <w:t>Premio a la Promoción de Albacete</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Beatriz Hoteles</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9"/>
              </w:numPr>
              <w:rPr>
                <w:rFonts w:ascii="Tahoma" w:hAnsi="Tahoma"/>
                <w:b/>
                <w:sz w:val="20"/>
              </w:rPr>
            </w:pPr>
            <w:r>
              <w:rPr>
                <w:rFonts w:ascii="Tahoma" w:hAnsi="Tahoma"/>
                <w:b/>
                <w:sz w:val="20"/>
              </w:rPr>
              <w:t xml:space="preserve">Premio a la Iniciativa Emprendedora </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Banco Santander</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9"/>
              </w:numPr>
              <w:rPr>
                <w:rFonts w:ascii="Tahoma" w:hAnsi="Tahoma"/>
                <w:b/>
                <w:sz w:val="20"/>
              </w:rPr>
            </w:pPr>
            <w:r>
              <w:rPr>
                <w:rFonts w:ascii="Tahoma" w:hAnsi="Tahoma"/>
                <w:b/>
                <w:sz w:val="20"/>
              </w:rPr>
              <w:t>Premio a la Responsabilidad Social</w:t>
            </w:r>
          </w:p>
          <w:p w:rsidR="002F15A6" w:rsidRDefault="002F15A6">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Fundación “la Caixa”</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tcPr>
          <w:p w:rsidR="002F15A6" w:rsidRDefault="002F15A6" w:rsidP="002F15A6">
            <w:pPr>
              <w:numPr>
                <w:ilvl w:val="0"/>
                <w:numId w:val="18"/>
              </w:numPr>
              <w:rPr>
                <w:rFonts w:ascii="Tahoma" w:hAnsi="Tahoma"/>
                <w:b/>
                <w:sz w:val="20"/>
              </w:rPr>
            </w:pPr>
            <w:r>
              <w:rPr>
                <w:rFonts w:ascii="Tahoma" w:hAnsi="Tahoma"/>
                <w:b/>
                <w:sz w:val="20"/>
              </w:rPr>
              <w:t>Premio al Mérito Empresarial</w:t>
            </w:r>
          </w:p>
          <w:p w:rsidR="002F15A6" w:rsidRDefault="002F15A6">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Ayuntamiento</w:t>
            </w:r>
          </w:p>
          <w:p w:rsidR="002F15A6" w:rsidRDefault="002F15A6">
            <w:pPr>
              <w:jc w:val="center"/>
              <w:rPr>
                <w:rFonts w:ascii="Tahoma" w:hAnsi="Tahoma"/>
                <w:sz w:val="20"/>
              </w:rPr>
            </w:pPr>
            <w:r>
              <w:rPr>
                <w:rFonts w:ascii="Tahoma" w:hAnsi="Tahoma"/>
                <w:sz w:val="20"/>
              </w:rPr>
              <w:t>de Albacete</w:t>
            </w:r>
          </w:p>
        </w:tc>
      </w:tr>
      <w:tr w:rsidR="002F15A6" w:rsidTr="002F15A6">
        <w:tc>
          <w:tcPr>
            <w:tcW w:w="4614" w:type="dxa"/>
            <w:gridSpan w:val="2"/>
            <w:tcBorders>
              <w:top w:val="single" w:sz="4" w:space="0" w:color="auto"/>
              <w:left w:val="single" w:sz="4" w:space="0" w:color="auto"/>
              <w:bottom w:val="single" w:sz="4" w:space="0" w:color="auto"/>
              <w:right w:val="single" w:sz="4" w:space="0" w:color="auto"/>
            </w:tcBorders>
            <w:hideMark/>
          </w:tcPr>
          <w:p w:rsidR="002F15A6" w:rsidRDefault="002F15A6" w:rsidP="002F15A6">
            <w:pPr>
              <w:numPr>
                <w:ilvl w:val="0"/>
                <w:numId w:val="18"/>
              </w:numPr>
              <w:rPr>
                <w:rFonts w:ascii="Tahoma" w:hAnsi="Tahoma"/>
                <w:b/>
                <w:sz w:val="20"/>
              </w:rPr>
            </w:pPr>
            <w:r>
              <w:rPr>
                <w:rFonts w:ascii="Tahoma" w:hAnsi="Tahoma"/>
                <w:b/>
                <w:sz w:val="20"/>
              </w:rPr>
              <w:t>Mención Especial del Jurado</w:t>
            </w:r>
          </w:p>
        </w:tc>
        <w:tc>
          <w:tcPr>
            <w:tcW w:w="2757" w:type="dxa"/>
            <w:tcBorders>
              <w:top w:val="single" w:sz="4" w:space="0" w:color="auto"/>
              <w:left w:val="single" w:sz="4" w:space="0" w:color="auto"/>
              <w:bottom w:val="single" w:sz="4" w:space="0" w:color="auto"/>
              <w:right w:val="single" w:sz="4" w:space="0" w:color="auto"/>
            </w:tcBorders>
            <w:hideMark/>
          </w:tcPr>
          <w:p w:rsidR="002F15A6" w:rsidRDefault="002F15A6">
            <w:pPr>
              <w:jc w:val="center"/>
              <w:rPr>
                <w:rFonts w:ascii="Tahoma" w:hAnsi="Tahoma"/>
                <w:sz w:val="20"/>
              </w:rPr>
            </w:pPr>
            <w:r>
              <w:rPr>
                <w:rFonts w:ascii="Tahoma" w:hAnsi="Tahoma"/>
                <w:sz w:val="20"/>
              </w:rPr>
              <w:t>Fundación Globalcaja- Albacete</w:t>
            </w:r>
          </w:p>
        </w:tc>
      </w:tr>
      <w:tr w:rsidR="002F15A6" w:rsidTr="002F15A6">
        <w:tc>
          <w:tcPr>
            <w:tcW w:w="4614" w:type="dxa"/>
            <w:gridSpan w:val="2"/>
            <w:tcBorders>
              <w:top w:val="single" w:sz="4" w:space="0" w:color="auto"/>
              <w:left w:val="nil"/>
              <w:bottom w:val="single" w:sz="4" w:space="0" w:color="auto"/>
              <w:right w:val="nil"/>
            </w:tcBorders>
          </w:tcPr>
          <w:p w:rsidR="002F15A6" w:rsidRDefault="002F15A6">
            <w:pPr>
              <w:ind w:left="360"/>
              <w:rPr>
                <w:rFonts w:ascii="Tahoma" w:hAnsi="Tahoma"/>
                <w:b/>
                <w:sz w:val="20"/>
              </w:rPr>
            </w:pPr>
          </w:p>
        </w:tc>
        <w:tc>
          <w:tcPr>
            <w:tcW w:w="2757" w:type="dxa"/>
            <w:tcBorders>
              <w:top w:val="single" w:sz="4" w:space="0" w:color="auto"/>
              <w:left w:val="nil"/>
              <w:bottom w:val="single" w:sz="4" w:space="0" w:color="auto"/>
              <w:right w:val="nil"/>
            </w:tcBorders>
          </w:tcPr>
          <w:p w:rsidR="002F15A6" w:rsidRDefault="002F15A6">
            <w:pPr>
              <w:jc w:val="center"/>
              <w:rPr>
                <w:rFonts w:ascii="Tahoma" w:hAnsi="Tahoma"/>
                <w:sz w:val="20"/>
              </w:rPr>
            </w:pPr>
          </w:p>
        </w:tc>
      </w:tr>
      <w:tr w:rsidR="002F15A6" w:rsidTr="002F15A6">
        <w:tc>
          <w:tcPr>
            <w:tcW w:w="4110" w:type="dxa"/>
            <w:tcBorders>
              <w:top w:val="single" w:sz="4" w:space="0" w:color="auto"/>
              <w:left w:val="single" w:sz="4" w:space="0" w:color="auto"/>
              <w:bottom w:val="single" w:sz="4" w:space="0" w:color="auto"/>
              <w:right w:val="single" w:sz="4" w:space="0" w:color="auto"/>
            </w:tcBorders>
            <w:hideMark/>
          </w:tcPr>
          <w:p w:rsidR="002F15A6" w:rsidRDefault="002F15A6" w:rsidP="002F15A6">
            <w:pPr>
              <w:numPr>
                <w:ilvl w:val="0"/>
                <w:numId w:val="20"/>
              </w:numPr>
              <w:rPr>
                <w:rFonts w:ascii="Tahoma" w:hAnsi="Tahoma"/>
                <w:b/>
                <w:sz w:val="20"/>
              </w:rPr>
            </w:pPr>
            <w:r>
              <w:rPr>
                <w:rFonts w:ascii="Tahoma" w:hAnsi="Tahoma"/>
                <w:b/>
                <w:sz w:val="20"/>
              </w:rPr>
              <w:t>Patrocinador de la Gala entrega de los Premios</w:t>
            </w:r>
          </w:p>
          <w:p w:rsidR="002F15A6" w:rsidRDefault="00933D06" w:rsidP="00933D06">
            <w:pPr>
              <w:rPr>
                <w:rFonts w:ascii="Tahoma" w:hAnsi="Tahoma"/>
                <w:b/>
                <w:sz w:val="20"/>
              </w:rPr>
            </w:pPr>
            <w:r>
              <w:rPr>
                <w:rFonts w:ascii="Tahoma" w:hAnsi="Tahoma"/>
                <w:sz w:val="20"/>
              </w:rPr>
              <w:t xml:space="preserve">   16</w:t>
            </w:r>
            <w:r w:rsidR="002F15A6">
              <w:rPr>
                <w:rFonts w:ascii="Tahoma" w:hAnsi="Tahoma"/>
                <w:sz w:val="20"/>
              </w:rPr>
              <w:t xml:space="preserve"> de junio, </w:t>
            </w:r>
            <w:r>
              <w:rPr>
                <w:rFonts w:ascii="Tahoma" w:hAnsi="Tahoma"/>
                <w:sz w:val="20"/>
              </w:rPr>
              <w:t>viernes</w:t>
            </w:r>
            <w:r w:rsidR="002F15A6">
              <w:rPr>
                <w:rFonts w:ascii="Tahoma" w:hAnsi="Tahoma"/>
                <w:sz w:val="20"/>
              </w:rPr>
              <w:t>/ Palacio de Congresos “Ciudad de Albacete”</w:t>
            </w:r>
          </w:p>
        </w:tc>
        <w:tc>
          <w:tcPr>
            <w:tcW w:w="3261" w:type="dxa"/>
            <w:gridSpan w:val="2"/>
            <w:tcBorders>
              <w:top w:val="single" w:sz="4" w:space="0" w:color="auto"/>
              <w:left w:val="single" w:sz="4" w:space="0" w:color="auto"/>
              <w:bottom w:val="single" w:sz="4" w:space="0" w:color="auto"/>
              <w:right w:val="single" w:sz="4" w:space="0" w:color="auto"/>
            </w:tcBorders>
          </w:tcPr>
          <w:p w:rsidR="002F15A6" w:rsidRDefault="002F15A6">
            <w:pPr>
              <w:rPr>
                <w:rFonts w:ascii="Tahoma" w:hAnsi="Tahoma"/>
                <w:sz w:val="20"/>
              </w:rPr>
            </w:pPr>
          </w:p>
          <w:p w:rsidR="002F15A6" w:rsidRDefault="002F15A6">
            <w:pPr>
              <w:jc w:val="center"/>
              <w:rPr>
                <w:rFonts w:ascii="Tahoma" w:hAnsi="Tahoma"/>
                <w:sz w:val="20"/>
              </w:rPr>
            </w:pPr>
            <w:r>
              <w:rPr>
                <w:rFonts w:ascii="Tahoma" w:hAnsi="Tahoma"/>
                <w:sz w:val="20"/>
              </w:rPr>
              <w:t>Globalcaja</w:t>
            </w:r>
          </w:p>
        </w:tc>
      </w:tr>
    </w:tbl>
    <w:p w:rsidR="009E7C68" w:rsidRDefault="009E7C68" w:rsidP="00843208">
      <w:pPr>
        <w:jc w:val="center"/>
        <w:rPr>
          <w:rFonts w:ascii="Tahoma" w:hAnsi="Tahoma" w:cs="Tahoma"/>
          <w:b/>
          <w:bCs/>
          <w:sz w:val="32"/>
          <w:szCs w:val="32"/>
        </w:rPr>
      </w:pPr>
    </w:p>
    <w:sectPr w:rsidR="009E7C68" w:rsidSect="00702694">
      <w:headerReference w:type="default" r:id="rId23"/>
      <w:footerReference w:type="even" r:id="rId24"/>
      <w:footerReference w:type="default" r:id="rId2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63704">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63704"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63704"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6370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6370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6370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6370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2F15A6" w:rsidP="0034347B">
    <w:pPr>
      <w:pStyle w:val="Encabezado"/>
      <w:jc w:val="right"/>
      <w:rPr>
        <w:rFonts w:ascii="Tahoma" w:hAnsi="Tahoma"/>
        <w:szCs w:val="15"/>
      </w:rPr>
    </w:pPr>
    <w:r w:rsidRPr="002F15A6">
      <w:rPr>
        <w:rFonts w:ascii="Tahoma" w:hAnsi="Tahoma" w:cs="Tahoma"/>
        <w:bCs/>
        <w:noProof/>
        <w:color w:val="000000"/>
        <w:sz w:val="22"/>
        <w:szCs w:val="22"/>
        <w:bdr w:val="none" w:sz="0" w:space="0" w:color="auto" w:frame="1"/>
        <w:lang w:val="es-ES"/>
      </w:rPr>
      <w:drawing>
        <wp:anchor distT="0" distB="0" distL="114300" distR="114300" simplePos="0" relativeHeight="251663872" behindDoc="0" locked="0" layoutInCell="1" allowOverlap="1" wp14:anchorId="03800A84" wp14:editId="62202346">
          <wp:simplePos x="0" y="0"/>
          <wp:positionH relativeFrom="column">
            <wp:posOffset>1518920</wp:posOffset>
          </wp:positionH>
          <wp:positionV relativeFrom="paragraph">
            <wp:posOffset>9525</wp:posOffset>
          </wp:positionV>
          <wp:extent cx="1560195" cy="1271905"/>
          <wp:effectExtent l="0" t="0" r="1905" b="4445"/>
          <wp:wrapThrough wrapText="bothSides">
            <wp:wrapPolygon edited="0">
              <wp:start x="0" y="0"/>
              <wp:lineTo x="0" y="21352"/>
              <wp:lineTo x="21363" y="21352"/>
              <wp:lineTo x="21363" y="0"/>
              <wp:lineTo x="0" y="0"/>
            </wp:wrapPolygon>
          </wp:wrapThrough>
          <wp:docPr id="12" name="Imagen 12" descr="\\server-datos\DPTOS\prensa\PREMIOS EMPRESARIALES SAN JUAN\Premios San Juan 2023\SAN JUAN 23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datos\DPTOS\prensa\PREMIOS EMPRESARIALES SAN JUAN\Premios San Juan 2023\SAN JUAN 23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195"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7"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6"/>
  </w:num>
  <w:num w:numId="2">
    <w:abstractNumId w:val="6"/>
  </w:num>
  <w:num w:numId="3">
    <w:abstractNumId w:val="2"/>
  </w:num>
  <w:num w:numId="4">
    <w:abstractNumId w:val="1"/>
  </w:num>
  <w:num w:numId="5">
    <w:abstractNumId w:val="0"/>
  </w:num>
  <w:num w:numId="6">
    <w:abstractNumId w:val="9"/>
  </w:num>
  <w:num w:numId="7">
    <w:abstractNumId w:val="11"/>
  </w:num>
  <w:num w:numId="8">
    <w:abstractNumId w:val="17"/>
  </w:num>
  <w:num w:numId="9">
    <w:abstractNumId w:val="5"/>
  </w:num>
  <w:num w:numId="10">
    <w:abstractNumId w:val="21"/>
  </w:num>
  <w:num w:numId="11">
    <w:abstractNumId w:val="13"/>
    <w:lvlOverride w:ilvl="0"/>
    <w:lvlOverride w:ilvl="1"/>
    <w:lvlOverride w:ilvl="2"/>
    <w:lvlOverride w:ilvl="3"/>
    <w:lvlOverride w:ilvl="4"/>
    <w:lvlOverride w:ilvl="5"/>
    <w:lvlOverride w:ilvl="6"/>
    <w:lvlOverride w:ilvl="7"/>
    <w:lvlOverride w:ilvl="8"/>
  </w:num>
  <w:num w:numId="12">
    <w:abstractNumId w:val="12"/>
    <w:lvlOverride w:ilvl="0"/>
    <w:lvlOverride w:ilvl="1"/>
    <w:lvlOverride w:ilvl="2"/>
    <w:lvlOverride w:ilvl="3"/>
    <w:lvlOverride w:ilvl="4"/>
    <w:lvlOverride w:ilvl="5"/>
    <w:lvlOverride w:ilvl="6"/>
    <w:lvlOverride w:ilvl="7"/>
    <w:lvlOverride w:ilvl="8"/>
  </w:num>
  <w:num w:numId="13">
    <w:abstractNumId w:val="7"/>
    <w:lvlOverride w:ilvl="0"/>
  </w:num>
  <w:num w:numId="14">
    <w:abstractNumId w:val="20"/>
    <w:lvlOverride w:ilvl="0"/>
  </w:num>
  <w:num w:numId="15">
    <w:abstractNumId w:val="15"/>
    <w:lvlOverride w:ilvl="0"/>
  </w:num>
  <w:num w:numId="16">
    <w:abstractNumId w:val="8"/>
    <w:lvlOverride w:ilvl="0"/>
  </w:num>
  <w:num w:numId="17">
    <w:abstractNumId w:val="19"/>
    <w:lvlOverride w:ilvl="0"/>
  </w:num>
  <w:num w:numId="18">
    <w:abstractNumId w:val="18"/>
    <w:lvlOverride w:ilvl="0"/>
  </w:num>
  <w:num w:numId="19">
    <w:abstractNumId w:val="10"/>
    <w:lvlOverride w:ilvl="0"/>
  </w:num>
  <w:num w:numId="20">
    <w:abstractNumId w:val="14"/>
    <w:lvlOverride w:ilv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08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704"/>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3785"/>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083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1" TargetMode="External"/><Relationship Id="rId13" Type="http://schemas.openxmlformats.org/officeDocument/2006/relationships/hyperlink" Target="https://eurocajarural.es/" TargetMode="External"/><Relationship Id="rId18" Type="http://schemas.openxmlformats.org/officeDocument/2006/relationships/hyperlink" Target="https://www.bancosantander.es/es/particular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lobalcaja.es/es/informacion-institucional/globalcaja-institucional/fundaciones/fundaciones-inst/" TargetMode="External"/><Relationship Id="rId7" Type="http://schemas.openxmlformats.org/officeDocument/2006/relationships/endnotes" Target="endnotes.xml"/><Relationship Id="rId12" Type="http://schemas.openxmlformats.org/officeDocument/2006/relationships/hyperlink" Target="https://www.castillalamancha.es/" TargetMode="External"/><Relationship Id="rId17" Type="http://schemas.openxmlformats.org/officeDocument/2006/relationships/hyperlink" Target="https://www.beatrizhoteles.com/es/hotel-beatriz-albacete-spa-en-albacete/?partner=5348&amp;gclid=EAIaIQobChMI2py7xZWL6gIVwk0YCh1b8wHAEAAYASAAEgIVRPD_Bw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oliss.es/" TargetMode="External"/><Relationship Id="rId20" Type="http://schemas.openxmlformats.org/officeDocument/2006/relationships/hyperlink" Target="http://www.albacete.es/porta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csabadell.com/cs/Satellite/SabAtl/Empresas/1191332202619/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header" Target="header1.xml"/><Relationship Id="rId10" Type="http://schemas.openxmlformats.org/officeDocument/2006/relationships/hyperlink" Target="https://www.bbva.es/personas.html" TargetMode="External"/><Relationship Id="rId19"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4" Type="http://schemas.openxmlformats.org/officeDocument/2006/relationships/settings" Target="settings.xml"/><Relationship Id="rId9" Type="http://schemas.openxmlformats.org/officeDocument/2006/relationships/hyperlink" Target="https://www.caixabank.es/index_es.html" TargetMode="External"/><Relationship Id="rId14" Type="http://schemas.openxmlformats.org/officeDocument/2006/relationships/hyperlink" Target="http://www.dipualba.es/Main/" TargetMode="External"/><Relationship Id="rId22" Type="http://schemas.openxmlformats.org/officeDocument/2006/relationships/hyperlink" Target="https://www.globalcaja.es/es/particulares/prestamos?gclid=EAIaIQobChMI_auilLjo9gIV-4xoCR3UEgkXEAAYASAAEgKn5vD_BwE"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12E91-1CD9-43FC-9808-463A89C2C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900</Words>
  <Characters>5975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6862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2023-03-21T10:57:00Z</dcterms:created>
  <dcterms:modified xsi:type="dcterms:W3CDTF">2023-03-21T10:58:00Z</dcterms:modified>
</cp:coreProperties>
</file>