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067" w:rsidRDefault="00F07067" w:rsidP="00F07067">
      <w:pPr>
        <w:jc w:val="right"/>
        <w:rPr>
          <w:rFonts w:ascii="Tahoma" w:hAnsi="Tahoma" w:cs="Tahoma"/>
          <w:bCs/>
          <w:szCs w:val="24"/>
        </w:rPr>
      </w:pPr>
    </w:p>
    <w:p w:rsidR="00F07067" w:rsidRDefault="00F07067" w:rsidP="00F07067">
      <w:pPr>
        <w:jc w:val="right"/>
        <w:rPr>
          <w:rFonts w:ascii="Tahoma" w:hAnsi="Tahoma" w:cs="Tahoma"/>
          <w:bCs/>
          <w:szCs w:val="24"/>
        </w:rPr>
      </w:pPr>
    </w:p>
    <w:p w:rsidR="00F07067" w:rsidRDefault="00F07067" w:rsidP="00F07067">
      <w:pPr>
        <w:jc w:val="right"/>
        <w:rPr>
          <w:rFonts w:ascii="Tahoma" w:hAnsi="Tahoma" w:cs="Tahoma"/>
          <w:bCs/>
          <w:szCs w:val="24"/>
        </w:rPr>
      </w:pPr>
      <w:r w:rsidRPr="00B2413A">
        <w:rPr>
          <w:rFonts w:ascii="Tahoma" w:hAnsi="Tahoma" w:cs="Tahoma"/>
          <w:bCs/>
          <w:szCs w:val="24"/>
        </w:rPr>
        <w:t xml:space="preserve">Albacete, </w:t>
      </w:r>
      <w:r w:rsidR="00251FBE">
        <w:rPr>
          <w:rFonts w:ascii="Tahoma" w:hAnsi="Tahoma" w:cs="Tahoma"/>
          <w:bCs/>
          <w:szCs w:val="24"/>
        </w:rPr>
        <w:t>10</w:t>
      </w:r>
      <w:r>
        <w:rPr>
          <w:rFonts w:ascii="Tahoma" w:hAnsi="Tahoma" w:cs="Tahoma"/>
          <w:bCs/>
          <w:szCs w:val="24"/>
        </w:rPr>
        <w:t xml:space="preserve"> de</w:t>
      </w:r>
      <w:r w:rsidRPr="00B2413A">
        <w:rPr>
          <w:rFonts w:ascii="Tahoma" w:hAnsi="Tahoma" w:cs="Tahoma"/>
          <w:bCs/>
          <w:szCs w:val="24"/>
        </w:rPr>
        <w:t xml:space="preserve"> </w:t>
      </w:r>
      <w:r w:rsidR="00251FBE">
        <w:rPr>
          <w:rFonts w:ascii="Tahoma" w:hAnsi="Tahoma" w:cs="Tahoma"/>
          <w:bCs/>
          <w:szCs w:val="24"/>
        </w:rPr>
        <w:t>mayo</w:t>
      </w:r>
      <w:r w:rsidRPr="00B2413A">
        <w:rPr>
          <w:rFonts w:ascii="Tahoma" w:hAnsi="Tahoma" w:cs="Tahoma"/>
          <w:bCs/>
          <w:szCs w:val="24"/>
        </w:rPr>
        <w:t xml:space="preserve"> de 202</w:t>
      </w:r>
      <w:r>
        <w:rPr>
          <w:rFonts w:ascii="Tahoma" w:hAnsi="Tahoma" w:cs="Tahoma"/>
          <w:bCs/>
          <w:szCs w:val="24"/>
        </w:rPr>
        <w:t>3</w:t>
      </w:r>
    </w:p>
    <w:p w:rsidR="00F07067" w:rsidRDefault="00F07067" w:rsidP="00F07067">
      <w:pPr>
        <w:jc w:val="right"/>
        <w:rPr>
          <w:rFonts w:ascii="Tahoma" w:hAnsi="Tahoma" w:cs="Tahoma"/>
          <w:bCs/>
          <w:szCs w:val="24"/>
        </w:rPr>
      </w:pPr>
    </w:p>
    <w:p w:rsidR="00013DCC" w:rsidRDefault="00251FBE" w:rsidP="00251FBE">
      <w:pPr>
        <w:jc w:val="center"/>
        <w:rPr>
          <w:rFonts w:ascii="Tahoma" w:hAnsi="Tahoma" w:cs="Tahoma"/>
          <w:b/>
          <w:bCs/>
          <w:sz w:val="32"/>
          <w:szCs w:val="32"/>
        </w:rPr>
      </w:pPr>
      <w:r>
        <w:rPr>
          <w:rFonts w:ascii="Tahoma" w:hAnsi="Tahoma" w:cs="Tahoma"/>
          <w:b/>
          <w:bCs/>
          <w:sz w:val="32"/>
          <w:szCs w:val="32"/>
        </w:rPr>
        <w:t xml:space="preserve">FEDA </w:t>
      </w:r>
      <w:r>
        <w:rPr>
          <w:rFonts w:ascii="Tahoma" w:hAnsi="Tahoma" w:cs="Tahoma"/>
          <w:b/>
          <w:bCs/>
          <w:sz w:val="32"/>
          <w:szCs w:val="32"/>
        </w:rPr>
        <w:t xml:space="preserve">cierran el proceso de votación </w:t>
      </w:r>
      <w:r w:rsidR="008D59FC">
        <w:rPr>
          <w:rFonts w:ascii="Tahoma" w:hAnsi="Tahoma" w:cs="Tahoma"/>
          <w:b/>
          <w:bCs/>
          <w:sz w:val="32"/>
          <w:szCs w:val="32"/>
        </w:rPr>
        <w:t xml:space="preserve">de sus asociaciones </w:t>
      </w:r>
      <w:r>
        <w:rPr>
          <w:rFonts w:ascii="Tahoma" w:hAnsi="Tahoma" w:cs="Tahoma"/>
          <w:b/>
          <w:bCs/>
          <w:sz w:val="32"/>
          <w:szCs w:val="32"/>
        </w:rPr>
        <w:t>a</w:t>
      </w:r>
      <w:r>
        <w:rPr>
          <w:rFonts w:ascii="Tahoma" w:hAnsi="Tahoma" w:cs="Tahoma"/>
          <w:b/>
          <w:bCs/>
          <w:sz w:val="32"/>
          <w:szCs w:val="32"/>
        </w:rPr>
        <w:t xml:space="preserve"> las propuestas empresariales </w:t>
      </w:r>
      <w:r w:rsidR="00013DCC">
        <w:rPr>
          <w:rFonts w:ascii="Tahoma" w:hAnsi="Tahoma" w:cs="Tahoma"/>
          <w:b/>
          <w:bCs/>
          <w:sz w:val="32"/>
          <w:szCs w:val="32"/>
        </w:rPr>
        <w:t xml:space="preserve">a </w:t>
      </w:r>
      <w:r>
        <w:rPr>
          <w:rFonts w:ascii="Tahoma" w:hAnsi="Tahoma" w:cs="Tahoma"/>
          <w:b/>
          <w:bCs/>
          <w:sz w:val="32"/>
          <w:szCs w:val="32"/>
        </w:rPr>
        <w:t>los</w:t>
      </w:r>
    </w:p>
    <w:p w:rsidR="00251FBE" w:rsidRDefault="00251FBE" w:rsidP="00251FBE">
      <w:pPr>
        <w:jc w:val="center"/>
        <w:rPr>
          <w:rFonts w:ascii="Tahoma" w:hAnsi="Tahoma" w:cs="Tahoma"/>
          <w:b/>
          <w:bCs/>
          <w:sz w:val="32"/>
          <w:szCs w:val="32"/>
        </w:rPr>
      </w:pPr>
      <w:bookmarkStart w:id="0" w:name="_GoBack"/>
      <w:bookmarkEnd w:id="0"/>
      <w:r>
        <w:rPr>
          <w:rFonts w:ascii="Tahoma" w:hAnsi="Tahoma" w:cs="Tahoma"/>
          <w:b/>
          <w:bCs/>
          <w:sz w:val="32"/>
          <w:szCs w:val="32"/>
        </w:rPr>
        <w:t xml:space="preserve"> Premios San Juan’20</w:t>
      </w:r>
      <w:r>
        <w:rPr>
          <w:rFonts w:ascii="Tahoma" w:hAnsi="Tahoma" w:cs="Tahoma"/>
          <w:b/>
          <w:bCs/>
          <w:sz w:val="32"/>
          <w:szCs w:val="32"/>
        </w:rPr>
        <w:t>23</w:t>
      </w:r>
      <w:r>
        <w:rPr>
          <w:rFonts w:ascii="Tahoma" w:hAnsi="Tahoma" w:cs="Tahoma"/>
          <w:b/>
          <w:bCs/>
          <w:sz w:val="32"/>
          <w:szCs w:val="32"/>
        </w:rPr>
        <w:t>-XX</w:t>
      </w:r>
      <w:r>
        <w:rPr>
          <w:rFonts w:ascii="Tahoma" w:hAnsi="Tahoma" w:cs="Tahoma"/>
          <w:b/>
          <w:bCs/>
          <w:sz w:val="32"/>
          <w:szCs w:val="32"/>
        </w:rPr>
        <w:t>IV</w:t>
      </w:r>
      <w:r>
        <w:rPr>
          <w:rFonts w:ascii="Tahoma" w:hAnsi="Tahoma" w:cs="Tahoma"/>
          <w:b/>
          <w:bCs/>
          <w:sz w:val="32"/>
          <w:szCs w:val="32"/>
        </w:rPr>
        <w:t xml:space="preserve"> Edición</w:t>
      </w:r>
    </w:p>
    <w:p w:rsidR="00251FBE" w:rsidRDefault="00251FBE" w:rsidP="00251FBE">
      <w:pPr>
        <w:jc w:val="right"/>
        <w:rPr>
          <w:rFonts w:ascii="Tahoma" w:hAnsi="Tahoma" w:cs="Tahoma"/>
          <w:bCs/>
          <w:sz w:val="22"/>
          <w:szCs w:val="22"/>
        </w:rPr>
      </w:pPr>
    </w:p>
    <w:p w:rsidR="00251FBE" w:rsidRPr="00251FBE" w:rsidRDefault="00251FBE" w:rsidP="00251FBE">
      <w:pPr>
        <w:numPr>
          <w:ilvl w:val="0"/>
          <w:numId w:val="29"/>
        </w:numPr>
        <w:jc w:val="center"/>
        <w:rPr>
          <w:rFonts w:ascii="Tahoma" w:hAnsi="Tahoma" w:cs="Tahoma"/>
          <w:b/>
          <w:bCs/>
          <w:sz w:val="22"/>
          <w:szCs w:val="22"/>
        </w:rPr>
      </w:pPr>
      <w:r w:rsidRPr="00251FBE">
        <w:rPr>
          <w:rFonts w:ascii="Tahoma" w:hAnsi="Tahoma" w:cs="Tahoma"/>
          <w:b/>
          <w:bCs/>
          <w:sz w:val="22"/>
          <w:szCs w:val="22"/>
        </w:rPr>
        <w:t xml:space="preserve">Los resultados en cada una de las 12 categorías pasarán al Jurado, que se reunirá el próximo </w:t>
      </w:r>
      <w:r w:rsidRPr="00251FBE">
        <w:rPr>
          <w:rFonts w:ascii="Tahoma" w:hAnsi="Tahoma" w:cs="Tahoma"/>
          <w:b/>
          <w:bCs/>
          <w:sz w:val="22"/>
          <w:szCs w:val="22"/>
        </w:rPr>
        <w:t>martes, día 16 de mayo, para concluir con la Gala de entrega, el viernes 16 de junio</w:t>
      </w:r>
    </w:p>
    <w:p w:rsidR="00251FBE" w:rsidRDefault="00251FBE" w:rsidP="00251FBE">
      <w:pPr>
        <w:jc w:val="center"/>
        <w:rPr>
          <w:rFonts w:ascii="Tahoma" w:hAnsi="Tahoma" w:cs="Tahoma"/>
          <w:b/>
          <w:bCs/>
          <w:szCs w:val="24"/>
        </w:rPr>
      </w:pPr>
    </w:p>
    <w:p w:rsidR="00251FBE" w:rsidRDefault="00251FBE" w:rsidP="00251FBE">
      <w:pPr>
        <w:rPr>
          <w:rFonts w:ascii="Tahoma" w:hAnsi="Tahoma" w:cs="Tahoma"/>
          <w:b/>
          <w:bCs/>
          <w:szCs w:val="24"/>
        </w:rPr>
      </w:pPr>
    </w:p>
    <w:p w:rsidR="00251FBE" w:rsidRDefault="00251FBE" w:rsidP="00251FBE">
      <w:pPr>
        <w:rPr>
          <w:rFonts w:ascii="Tahoma" w:hAnsi="Tahoma" w:cs="Tahoma"/>
          <w:bCs/>
          <w:sz w:val="22"/>
          <w:szCs w:val="22"/>
        </w:rPr>
      </w:pPr>
      <w:r>
        <w:rPr>
          <w:rFonts w:ascii="Tahoma" w:hAnsi="Tahoma" w:cs="Tahoma"/>
          <w:bCs/>
          <w:sz w:val="22"/>
          <w:szCs w:val="22"/>
        </w:rPr>
        <w:t xml:space="preserve">Los </w:t>
      </w:r>
      <w:hyperlink r:id="rId8" w:history="1">
        <w:r w:rsidRPr="008D59FC">
          <w:rPr>
            <w:rStyle w:val="Hipervnculo"/>
            <w:rFonts w:ascii="Tahoma" w:hAnsi="Tahoma" w:cs="Tahoma"/>
            <w:bCs/>
            <w:sz w:val="22"/>
            <w:szCs w:val="22"/>
          </w:rPr>
          <w:t>Premios Empresariales San Juan’2023-XXIV</w:t>
        </w:r>
        <w:r w:rsidR="008D59FC" w:rsidRPr="008D59FC">
          <w:rPr>
            <w:rStyle w:val="Hipervnculo"/>
            <w:rFonts w:ascii="Tahoma" w:hAnsi="Tahoma" w:cs="Tahoma"/>
            <w:bCs/>
            <w:sz w:val="22"/>
            <w:szCs w:val="22"/>
          </w:rPr>
          <w:t xml:space="preserve"> Edición</w:t>
        </w:r>
      </w:hyperlink>
      <w:r>
        <w:rPr>
          <w:rFonts w:ascii="Tahoma" w:hAnsi="Tahoma" w:cs="Tahoma"/>
          <w:bCs/>
          <w:sz w:val="22"/>
          <w:szCs w:val="22"/>
        </w:rPr>
        <w:t xml:space="preserve"> entran en su primera fase hasta conocer a los galardonados. Esta primera fase </w:t>
      </w:r>
      <w:r>
        <w:rPr>
          <w:rFonts w:ascii="Tahoma" w:hAnsi="Tahoma" w:cs="Tahoma"/>
          <w:bCs/>
          <w:sz w:val="22"/>
          <w:szCs w:val="22"/>
        </w:rPr>
        <w:t>termina con l</w:t>
      </w:r>
      <w:r>
        <w:rPr>
          <w:rFonts w:ascii="Tahoma" w:hAnsi="Tahoma" w:cs="Tahoma"/>
          <w:bCs/>
          <w:sz w:val="22"/>
          <w:szCs w:val="22"/>
        </w:rPr>
        <w:t>a votación de las asociaciones de FEDA, a través de sus juntas directivas.</w:t>
      </w:r>
    </w:p>
    <w:p w:rsidR="00251FBE" w:rsidRDefault="00251FBE" w:rsidP="00251FBE">
      <w:pPr>
        <w:rPr>
          <w:rFonts w:ascii="Tahoma" w:hAnsi="Tahoma" w:cs="Tahoma"/>
          <w:bCs/>
          <w:sz w:val="22"/>
          <w:szCs w:val="22"/>
        </w:rPr>
      </w:pPr>
    </w:p>
    <w:p w:rsidR="00251FBE" w:rsidRDefault="00251FBE" w:rsidP="00251FBE">
      <w:pPr>
        <w:rPr>
          <w:rFonts w:ascii="Tahoma" w:hAnsi="Tahoma" w:cs="Tahoma"/>
          <w:sz w:val="22"/>
          <w:szCs w:val="22"/>
        </w:rPr>
      </w:pPr>
      <w:r>
        <w:rPr>
          <w:rFonts w:ascii="Tahoma" w:hAnsi="Tahoma" w:cs="Tahoma"/>
          <w:bCs/>
          <w:sz w:val="22"/>
          <w:szCs w:val="22"/>
        </w:rPr>
        <w:t>Atendiendo a las bases que regulan los Premios San Juan, p</w:t>
      </w:r>
      <w:r>
        <w:rPr>
          <w:rFonts w:ascii="Tahoma" w:hAnsi="Tahoma" w:cs="Tahoma"/>
          <w:sz w:val="22"/>
          <w:szCs w:val="22"/>
        </w:rPr>
        <w:t xml:space="preserve">ara proceder a la elección de las empresas galardonadas, FEDA ha elaborado una batería de propuestas que pasarán al Jurado de estos Premios. Propuestas que las asociaciones que integran la Confederación </w:t>
      </w:r>
      <w:r>
        <w:rPr>
          <w:rFonts w:ascii="Tahoma" w:hAnsi="Tahoma" w:cs="Tahoma"/>
          <w:sz w:val="22"/>
          <w:szCs w:val="22"/>
        </w:rPr>
        <w:t>han tenido de plazo hasta hoy, día 10, para emitir sus votos.</w:t>
      </w:r>
    </w:p>
    <w:p w:rsidR="00251FBE" w:rsidRDefault="00251FBE" w:rsidP="00251FBE">
      <w:pPr>
        <w:ind w:left="426" w:hanging="426"/>
        <w:rPr>
          <w:rFonts w:ascii="Tahoma" w:hAnsi="Tahoma" w:cs="Tahoma"/>
          <w:b/>
          <w:color w:val="44546A"/>
          <w:sz w:val="22"/>
          <w:szCs w:val="22"/>
        </w:rPr>
      </w:pPr>
    </w:p>
    <w:p w:rsidR="00251FBE" w:rsidRDefault="00251FBE" w:rsidP="00251FBE">
      <w:pPr>
        <w:rPr>
          <w:rFonts w:ascii="Tahoma" w:hAnsi="Tahoma" w:cs="Tahoma"/>
          <w:sz w:val="22"/>
          <w:szCs w:val="22"/>
        </w:rPr>
      </w:pPr>
      <w:r>
        <w:rPr>
          <w:rFonts w:ascii="Tahoma" w:hAnsi="Tahoma" w:cs="Tahoma"/>
          <w:sz w:val="22"/>
          <w:szCs w:val="22"/>
        </w:rPr>
        <w:t xml:space="preserve">Cada Asociación designará </w:t>
      </w:r>
      <w:r>
        <w:rPr>
          <w:rFonts w:ascii="Tahoma" w:hAnsi="Tahoma" w:cs="Tahoma"/>
          <w:sz w:val="22"/>
          <w:szCs w:val="22"/>
        </w:rPr>
        <w:t xml:space="preserve">a una </w:t>
      </w:r>
      <w:r>
        <w:rPr>
          <w:rFonts w:ascii="Tahoma" w:hAnsi="Tahoma" w:cs="Tahoma"/>
          <w:sz w:val="22"/>
          <w:szCs w:val="22"/>
        </w:rPr>
        <w:t xml:space="preserve">empresa por categoría a premiar, no siendo necesario optar a todos. Estas nominaciones serán elevadas al Jurado. </w:t>
      </w:r>
    </w:p>
    <w:p w:rsidR="00251FBE" w:rsidRDefault="00251FBE" w:rsidP="00251FBE">
      <w:pPr>
        <w:rPr>
          <w:rFonts w:ascii="Tahoma" w:hAnsi="Tahoma" w:cs="Tahoma"/>
          <w:sz w:val="22"/>
          <w:szCs w:val="22"/>
        </w:rPr>
      </w:pPr>
    </w:p>
    <w:p w:rsidR="00251FBE" w:rsidRDefault="00251FBE" w:rsidP="00251FBE">
      <w:pPr>
        <w:rPr>
          <w:rFonts w:ascii="Tahoma" w:hAnsi="Tahoma" w:cs="Tahoma"/>
          <w:sz w:val="22"/>
          <w:szCs w:val="22"/>
        </w:rPr>
      </w:pPr>
      <w:r>
        <w:rPr>
          <w:rFonts w:ascii="Tahoma" w:hAnsi="Tahoma" w:cs="Tahoma"/>
          <w:sz w:val="22"/>
          <w:szCs w:val="22"/>
        </w:rPr>
        <w:t xml:space="preserve">Un Jurado que celebrará su reunión el próximo </w:t>
      </w:r>
      <w:r>
        <w:rPr>
          <w:rFonts w:ascii="Tahoma" w:hAnsi="Tahoma" w:cs="Tahoma"/>
          <w:sz w:val="22"/>
          <w:szCs w:val="22"/>
        </w:rPr>
        <w:t xml:space="preserve">martes, día 16 </w:t>
      </w:r>
      <w:r>
        <w:rPr>
          <w:rFonts w:ascii="Tahoma" w:hAnsi="Tahoma" w:cs="Tahoma"/>
          <w:sz w:val="22"/>
          <w:szCs w:val="22"/>
        </w:rPr>
        <w:t>de mayo. El Premio se comunicará automáticamente a la empresa y al día siguiente serán dados a conocer a los medios de comunicación. Los Premios se entregarán en la Gala, que patrocina Globalcaja, qu</w:t>
      </w:r>
      <w:r>
        <w:rPr>
          <w:rFonts w:ascii="Tahoma" w:hAnsi="Tahoma" w:cs="Tahoma"/>
          <w:sz w:val="22"/>
          <w:szCs w:val="22"/>
        </w:rPr>
        <w:t>e ya está prevista para el día 16</w:t>
      </w:r>
      <w:r>
        <w:rPr>
          <w:rFonts w:ascii="Tahoma" w:hAnsi="Tahoma" w:cs="Tahoma"/>
          <w:sz w:val="22"/>
          <w:szCs w:val="22"/>
        </w:rPr>
        <w:t xml:space="preserve"> de junio, en el Palacio de Congresos “Ciudad de Albacete”</w:t>
      </w:r>
    </w:p>
    <w:p w:rsidR="00251FBE" w:rsidRDefault="00251FBE" w:rsidP="00251FBE">
      <w:pPr>
        <w:rPr>
          <w:rFonts w:ascii="Tahoma" w:hAnsi="Tahoma" w:cs="Tahoma"/>
          <w:b/>
          <w:bCs/>
          <w:szCs w:val="24"/>
        </w:rPr>
      </w:pPr>
    </w:p>
    <w:p w:rsidR="00251FBE" w:rsidRDefault="00251FBE" w:rsidP="00251FBE">
      <w:pPr>
        <w:rPr>
          <w:rFonts w:ascii="Tahoma" w:hAnsi="Tahoma" w:cs="Tahoma"/>
          <w:sz w:val="22"/>
          <w:szCs w:val="22"/>
        </w:rPr>
      </w:pPr>
      <w:r>
        <w:rPr>
          <w:rFonts w:ascii="Tahoma" w:hAnsi="Tahoma" w:cs="Tahoma"/>
          <w:sz w:val="22"/>
          <w:szCs w:val="22"/>
        </w:rPr>
        <w:t xml:space="preserve">También, según las </w:t>
      </w:r>
      <w:hyperlink r:id="rId9" w:history="1">
        <w:r w:rsidR="008D59FC" w:rsidRPr="008D59FC">
          <w:rPr>
            <w:rStyle w:val="Hipervnculo"/>
            <w:rFonts w:ascii="Tahoma" w:hAnsi="Tahoma" w:cs="Tahoma"/>
            <w:sz w:val="22"/>
            <w:szCs w:val="22"/>
          </w:rPr>
          <w:t>B</w:t>
        </w:r>
        <w:r w:rsidRPr="008D59FC">
          <w:rPr>
            <w:rStyle w:val="Hipervnculo"/>
            <w:rFonts w:ascii="Tahoma" w:hAnsi="Tahoma" w:cs="Tahoma"/>
            <w:sz w:val="22"/>
            <w:szCs w:val="22"/>
          </w:rPr>
          <w:t>ases</w:t>
        </w:r>
      </w:hyperlink>
      <w:r>
        <w:rPr>
          <w:rFonts w:ascii="Tahoma" w:hAnsi="Tahoma" w:cs="Tahoma"/>
          <w:sz w:val="22"/>
          <w:szCs w:val="22"/>
        </w:rPr>
        <w:t>, el Jurado que otorgará los Premios estará compuesto por nueve miembros: Cuatro representantes del Comité Ejecutivo de FEDA, tres representantes de la Administración (local, autonómica de Castilla-La Mancha y del Estado), un representante de la Universidad y un representante de la entidad patrocinadora del Premio respectivo. El número de miembros será siempre impar. El presidente del jurado será el presidente de FEDA y actuará como secretario del jurado el secretario de la Confederación.</w:t>
      </w:r>
    </w:p>
    <w:p w:rsidR="00251FBE" w:rsidRDefault="00251FBE" w:rsidP="00251FBE">
      <w:pPr>
        <w:rPr>
          <w:rFonts w:ascii="Tahoma" w:hAnsi="Tahoma" w:cs="Tahoma"/>
          <w:sz w:val="22"/>
          <w:szCs w:val="22"/>
        </w:rPr>
      </w:pPr>
    </w:p>
    <w:p w:rsidR="00251FBE" w:rsidRDefault="00251FBE" w:rsidP="00251FBE">
      <w:pPr>
        <w:rPr>
          <w:rFonts w:ascii="Tahoma" w:hAnsi="Tahoma" w:cs="Tahoma"/>
          <w:b/>
          <w:sz w:val="22"/>
          <w:szCs w:val="22"/>
        </w:rPr>
      </w:pPr>
      <w:r>
        <w:rPr>
          <w:rFonts w:ascii="Tahoma" w:hAnsi="Tahoma" w:cs="Tahoma"/>
          <w:b/>
          <w:sz w:val="22"/>
          <w:szCs w:val="22"/>
        </w:rPr>
        <w:t>Cuarenta propuestas para doce Premios</w:t>
      </w:r>
    </w:p>
    <w:p w:rsidR="00251FBE" w:rsidRDefault="00251FBE" w:rsidP="00251FBE">
      <w:pPr>
        <w:rPr>
          <w:rFonts w:ascii="Tahoma" w:hAnsi="Tahoma" w:cs="Tahoma"/>
          <w:sz w:val="22"/>
          <w:szCs w:val="22"/>
        </w:rPr>
      </w:pPr>
    </w:p>
    <w:p w:rsidR="00251FBE" w:rsidRDefault="00251FBE" w:rsidP="00251FBE">
      <w:pPr>
        <w:rPr>
          <w:rFonts w:ascii="Tahoma" w:hAnsi="Tahoma" w:cs="Tahoma"/>
          <w:sz w:val="22"/>
          <w:szCs w:val="22"/>
        </w:rPr>
      </w:pPr>
      <w:r>
        <w:rPr>
          <w:rFonts w:ascii="Tahoma" w:hAnsi="Tahoma" w:cs="Tahoma"/>
          <w:sz w:val="22"/>
          <w:szCs w:val="22"/>
        </w:rPr>
        <w:t xml:space="preserve">Las empresas que obtengan Premio no podrán optar al mismo hasta transcurrido un periodo de cinco años como mínimo. El Jurado podrá otorgar una </w:t>
      </w:r>
      <w:r>
        <w:rPr>
          <w:rFonts w:ascii="Tahoma" w:hAnsi="Tahoma" w:cs="Tahoma"/>
          <w:b/>
          <w:bCs/>
          <w:sz w:val="22"/>
          <w:szCs w:val="22"/>
        </w:rPr>
        <w:t>Mención Especial</w:t>
      </w:r>
      <w:r>
        <w:rPr>
          <w:rFonts w:ascii="Tahoma" w:hAnsi="Tahoma" w:cs="Tahoma"/>
          <w:sz w:val="22"/>
          <w:szCs w:val="22"/>
        </w:rPr>
        <w:t xml:space="preserve"> a personas o instituciones que se hayan distinguido en la defensa de los intereses económicos</w:t>
      </w:r>
      <w:r w:rsidR="00334788">
        <w:rPr>
          <w:rFonts w:ascii="Tahoma" w:hAnsi="Tahoma" w:cs="Tahoma"/>
          <w:sz w:val="22"/>
          <w:szCs w:val="22"/>
        </w:rPr>
        <w:t>, sociales y profesionales de las empresas</w:t>
      </w:r>
      <w:r>
        <w:rPr>
          <w:rFonts w:ascii="Tahoma" w:hAnsi="Tahoma" w:cs="Tahoma"/>
          <w:sz w:val="22"/>
          <w:szCs w:val="22"/>
        </w:rPr>
        <w:t xml:space="preserve"> de la provincia de Albacete, así como aquellas menciones que en cada edición considere oportunas. </w:t>
      </w:r>
    </w:p>
    <w:p w:rsidR="00334788" w:rsidRDefault="00334788" w:rsidP="00251FBE">
      <w:pPr>
        <w:rPr>
          <w:rFonts w:ascii="Tahoma" w:hAnsi="Tahoma" w:cs="Tahoma"/>
          <w:sz w:val="22"/>
          <w:szCs w:val="22"/>
        </w:rPr>
      </w:pPr>
    </w:p>
    <w:p w:rsidR="00334788" w:rsidRDefault="00334788" w:rsidP="00251FBE">
      <w:pPr>
        <w:rPr>
          <w:rFonts w:ascii="Tahoma" w:hAnsi="Tahoma" w:cs="Tahoma"/>
          <w:sz w:val="22"/>
          <w:szCs w:val="22"/>
        </w:rPr>
      </w:pPr>
    </w:p>
    <w:p w:rsidR="00334788" w:rsidRDefault="00334788" w:rsidP="00251FBE">
      <w:pPr>
        <w:rPr>
          <w:rFonts w:ascii="Tahoma" w:hAnsi="Tahoma" w:cs="Tahoma"/>
          <w:sz w:val="22"/>
          <w:szCs w:val="22"/>
        </w:rPr>
      </w:pPr>
    </w:p>
    <w:p w:rsidR="00334788" w:rsidRDefault="00334788" w:rsidP="00251FBE">
      <w:pPr>
        <w:rPr>
          <w:rFonts w:ascii="Tahoma" w:hAnsi="Tahoma" w:cs="Tahoma"/>
          <w:sz w:val="22"/>
          <w:szCs w:val="22"/>
        </w:rPr>
      </w:pPr>
    </w:p>
    <w:p w:rsidR="00251FBE" w:rsidRDefault="00251FBE" w:rsidP="00251FBE">
      <w:pPr>
        <w:ind w:left="426" w:hanging="426"/>
        <w:rPr>
          <w:rFonts w:ascii="Tahoma" w:hAnsi="Tahoma" w:cs="Tahoma"/>
          <w:sz w:val="22"/>
          <w:szCs w:val="22"/>
        </w:rPr>
      </w:pPr>
    </w:p>
    <w:p w:rsidR="00334788" w:rsidRDefault="00251FBE" w:rsidP="00251FBE">
      <w:pPr>
        <w:ind w:left="426" w:hanging="426"/>
        <w:rPr>
          <w:rFonts w:ascii="Tahoma" w:hAnsi="Tahoma" w:cs="Tahoma"/>
          <w:sz w:val="22"/>
          <w:szCs w:val="22"/>
        </w:rPr>
      </w:pPr>
      <w:r>
        <w:rPr>
          <w:rFonts w:ascii="Tahoma" w:hAnsi="Tahoma" w:cs="Tahoma"/>
          <w:sz w:val="22"/>
          <w:szCs w:val="22"/>
        </w:rPr>
        <w:t>En las bases se establecen los doce Premios San Juan:</w:t>
      </w:r>
    </w:p>
    <w:p w:rsidR="00251FBE" w:rsidRDefault="00251FBE" w:rsidP="00251FBE">
      <w:pPr>
        <w:ind w:left="426" w:hanging="426"/>
        <w:rPr>
          <w:rFonts w:ascii="Tahoma" w:hAnsi="Tahoma" w:cs="Tahoma"/>
          <w:b/>
          <w:sz w:val="22"/>
          <w:szCs w:val="22"/>
        </w:rPr>
      </w:pP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Empresa Familiar</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 xml:space="preserve">Empresa en Nuevas Tecnologías e Innovación </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Empresa Exportadora</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Empresa Inversora en Calidad y Medio Ambiente</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Joven Empresario</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Mujer Empresaria</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Empresa Tradicional</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Asociación Empresarial</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Premio a la Promoción de Albacete</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Premio a la Iniciativa Emprendedora</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Premio a la Responsabilidad Social</w:t>
      </w:r>
    </w:p>
    <w:p w:rsidR="00251FBE" w:rsidRDefault="00251FBE" w:rsidP="00251FBE">
      <w:pPr>
        <w:numPr>
          <w:ilvl w:val="0"/>
          <w:numId w:val="30"/>
        </w:numPr>
        <w:ind w:left="780"/>
        <w:rPr>
          <w:rFonts w:ascii="Tahoma" w:hAnsi="Tahoma" w:cs="Tahoma"/>
          <w:sz w:val="22"/>
          <w:szCs w:val="22"/>
        </w:rPr>
      </w:pPr>
      <w:r>
        <w:rPr>
          <w:rFonts w:ascii="Tahoma" w:hAnsi="Tahoma" w:cs="Tahoma"/>
          <w:b/>
          <w:sz w:val="22"/>
          <w:szCs w:val="22"/>
        </w:rPr>
        <w:t>Premio al Mérito Empresarial</w:t>
      </w:r>
    </w:p>
    <w:p w:rsidR="00251FBE" w:rsidRDefault="00251FBE" w:rsidP="00251FBE">
      <w:pPr>
        <w:ind w:left="426" w:hanging="426"/>
        <w:rPr>
          <w:rFonts w:ascii="Tahoma" w:hAnsi="Tahoma" w:cs="Tahoma"/>
          <w:b/>
          <w:sz w:val="22"/>
          <w:szCs w:val="22"/>
        </w:rPr>
      </w:pPr>
    </w:p>
    <w:p w:rsidR="00251FBE" w:rsidRDefault="00251FBE" w:rsidP="00251FBE">
      <w:pPr>
        <w:rPr>
          <w:rFonts w:ascii="Tahoma" w:hAnsi="Tahoma" w:cs="Tahoma"/>
          <w:sz w:val="22"/>
          <w:szCs w:val="22"/>
        </w:rPr>
      </w:pPr>
      <w:r>
        <w:rPr>
          <w:rFonts w:ascii="Tahoma" w:hAnsi="Tahoma" w:cs="Tahoma"/>
          <w:sz w:val="22"/>
          <w:szCs w:val="22"/>
        </w:rPr>
        <w:t xml:space="preserve">El Jurado, que tendrá sobre la mesa </w:t>
      </w:r>
      <w:r w:rsidR="00334788">
        <w:rPr>
          <w:rFonts w:ascii="Tahoma" w:hAnsi="Tahoma" w:cs="Tahoma"/>
          <w:sz w:val="22"/>
          <w:szCs w:val="22"/>
        </w:rPr>
        <w:t>más de treinta</w:t>
      </w:r>
      <w:r>
        <w:rPr>
          <w:rFonts w:ascii="Tahoma" w:hAnsi="Tahoma" w:cs="Tahoma"/>
          <w:sz w:val="22"/>
          <w:szCs w:val="22"/>
        </w:rPr>
        <w:t xml:space="preserve"> propuestas de todos los sectores productivos y de varios puntos de Albacete y provincia, valorará, una vez analizadas las propuestas, con los votos de las asociaciones, una serie de conceptos para otorgar los Premios: Antigüedad, creatividad, red comercial, certificado ISO-9000, certificado ISO-14000, inversiones realizadas, grado de penetración en mercados locales, nacionales e internacionales, innovación, valor añadido, tradición e iniciativa.</w:t>
      </w:r>
    </w:p>
    <w:p w:rsidR="00251FBE" w:rsidRDefault="00251FBE" w:rsidP="00251FBE">
      <w:pPr>
        <w:rPr>
          <w:rFonts w:ascii="Tahoma" w:hAnsi="Tahoma" w:cs="Tahoma"/>
          <w:sz w:val="22"/>
          <w:szCs w:val="22"/>
        </w:rPr>
      </w:pPr>
    </w:p>
    <w:p w:rsidR="00334788" w:rsidRDefault="00334788" w:rsidP="00334788">
      <w:pPr>
        <w:rPr>
          <w:rFonts w:ascii="Tahoma" w:hAnsi="Tahoma" w:cs="Tahoma"/>
          <w:sz w:val="22"/>
          <w:szCs w:val="22"/>
        </w:rPr>
      </w:pPr>
      <w:r>
        <w:rPr>
          <w:rFonts w:ascii="Tahoma" w:hAnsi="Tahoma" w:cs="Tahoma"/>
          <w:sz w:val="22"/>
          <w:szCs w:val="22"/>
        </w:rPr>
        <w:t xml:space="preserve">Continúan con FEDA como colaboradores </w:t>
      </w:r>
      <w:hyperlink r:id="rId10" w:history="1">
        <w:r>
          <w:rPr>
            <w:rStyle w:val="Hipervnculo"/>
            <w:rFonts w:ascii="Tahoma" w:hAnsi="Tahoma" w:cs="Tahoma"/>
            <w:color w:val="2F5496" w:themeColor="accent5" w:themeShade="BF"/>
            <w:sz w:val="22"/>
            <w:szCs w:val="22"/>
            <w:shd w:val="clear" w:color="auto" w:fill="FFFFFF"/>
          </w:rPr>
          <w:t>CaixaBank</w:t>
        </w:r>
      </w:hyperlink>
      <w:r>
        <w:rPr>
          <w:rFonts w:ascii="Tahoma" w:hAnsi="Tahoma" w:cs="Tahoma"/>
          <w:color w:val="2F5496" w:themeColor="accent5" w:themeShade="BF"/>
          <w:sz w:val="22"/>
          <w:szCs w:val="22"/>
          <w:shd w:val="clear" w:color="auto" w:fill="FFFFFF"/>
        </w:rPr>
        <w:t>, </w:t>
      </w:r>
      <w:hyperlink r:id="rId11" w:history="1">
        <w:r>
          <w:rPr>
            <w:rStyle w:val="Hipervnculo"/>
            <w:rFonts w:ascii="Tahoma" w:hAnsi="Tahoma" w:cs="Tahoma"/>
            <w:color w:val="2F5496" w:themeColor="accent5" w:themeShade="BF"/>
            <w:sz w:val="22"/>
            <w:szCs w:val="22"/>
            <w:shd w:val="clear" w:color="auto" w:fill="FFFFFF"/>
          </w:rPr>
          <w:t>BBVA</w:t>
        </w:r>
      </w:hyperlink>
      <w:r>
        <w:rPr>
          <w:rFonts w:ascii="Tahoma" w:hAnsi="Tahoma" w:cs="Tahoma"/>
          <w:color w:val="2F5496" w:themeColor="accent5" w:themeShade="BF"/>
          <w:sz w:val="22"/>
          <w:szCs w:val="22"/>
          <w:shd w:val="clear" w:color="auto" w:fill="FFFFFF"/>
        </w:rPr>
        <w:t>, </w:t>
      </w:r>
      <w:hyperlink r:id="rId12" w:history="1">
        <w:r>
          <w:rPr>
            <w:rStyle w:val="Hipervnculo"/>
            <w:rFonts w:ascii="Tahoma" w:hAnsi="Tahoma" w:cs="Tahoma"/>
            <w:color w:val="2F5496" w:themeColor="accent5" w:themeShade="BF"/>
            <w:sz w:val="22"/>
            <w:szCs w:val="22"/>
            <w:shd w:val="clear" w:color="auto" w:fill="FFFFFF"/>
          </w:rPr>
          <w:t>Banco Sabadell</w:t>
        </w:r>
      </w:hyperlink>
      <w:r>
        <w:rPr>
          <w:rFonts w:ascii="Tahoma" w:hAnsi="Tahoma" w:cs="Tahoma"/>
          <w:color w:val="2F5496" w:themeColor="accent5" w:themeShade="BF"/>
          <w:sz w:val="22"/>
          <w:szCs w:val="22"/>
          <w:shd w:val="clear" w:color="auto" w:fill="FFFFFF"/>
        </w:rPr>
        <w:t>, </w:t>
      </w:r>
      <w:hyperlink r:id="rId13" w:history="1">
        <w:r w:rsidRPr="009D6A77">
          <w:rPr>
            <w:rStyle w:val="Hipervnculo"/>
            <w:rFonts w:ascii="Tahoma" w:hAnsi="Tahoma" w:cs="Tahoma"/>
            <w:sz w:val="22"/>
            <w:szCs w:val="22"/>
            <w:shd w:val="clear" w:color="auto" w:fill="FFFFFF"/>
          </w:rPr>
          <w:t>Junta de Comunidades de Castilla-La Mancha,</w:t>
        </w:r>
      </w:hyperlink>
      <w:r>
        <w:rPr>
          <w:rFonts w:ascii="Tahoma" w:hAnsi="Tahoma" w:cs="Tahoma"/>
          <w:color w:val="2F5496" w:themeColor="accent5" w:themeShade="BF"/>
          <w:sz w:val="22"/>
          <w:szCs w:val="22"/>
          <w:shd w:val="clear" w:color="auto" w:fill="FFFFFF"/>
        </w:rPr>
        <w:t> </w:t>
      </w:r>
      <w:hyperlink r:id="rId14" w:history="1">
        <w:r>
          <w:rPr>
            <w:rStyle w:val="Hipervnculo"/>
            <w:rFonts w:ascii="Tahoma" w:hAnsi="Tahoma" w:cs="Tahoma"/>
            <w:color w:val="2F5496" w:themeColor="accent5" w:themeShade="BF"/>
            <w:sz w:val="22"/>
            <w:szCs w:val="22"/>
            <w:shd w:val="clear" w:color="auto" w:fill="FFFFFF"/>
          </w:rPr>
          <w:t>Eurocaja Rural</w:t>
        </w:r>
      </w:hyperlink>
      <w:r>
        <w:rPr>
          <w:rFonts w:ascii="Tahoma" w:hAnsi="Tahoma" w:cs="Tahoma"/>
          <w:color w:val="2F5496" w:themeColor="accent5" w:themeShade="BF"/>
          <w:sz w:val="22"/>
          <w:szCs w:val="22"/>
          <w:shd w:val="clear" w:color="auto" w:fill="FFFFFF"/>
        </w:rPr>
        <w:t>, </w:t>
      </w:r>
      <w:hyperlink r:id="rId15" w:history="1">
        <w:r>
          <w:rPr>
            <w:rStyle w:val="Hipervnculo"/>
            <w:rFonts w:ascii="Tahoma" w:hAnsi="Tahoma" w:cs="Tahoma"/>
            <w:color w:val="2F5496" w:themeColor="accent5" w:themeShade="BF"/>
            <w:sz w:val="22"/>
            <w:szCs w:val="22"/>
            <w:shd w:val="clear" w:color="auto" w:fill="FFFFFF"/>
          </w:rPr>
          <w:t>Diputación Provincial de Albacete</w:t>
        </w:r>
      </w:hyperlink>
      <w:r>
        <w:rPr>
          <w:rFonts w:ascii="Tahoma" w:hAnsi="Tahoma" w:cs="Tahoma"/>
          <w:color w:val="2F5496" w:themeColor="accent5" w:themeShade="BF"/>
          <w:sz w:val="22"/>
          <w:szCs w:val="22"/>
          <w:shd w:val="clear" w:color="auto" w:fill="FFFFFF"/>
        </w:rPr>
        <w:t>, </w:t>
      </w:r>
      <w:hyperlink r:id="rId16" w:history="1">
        <w:r>
          <w:rPr>
            <w:rStyle w:val="Hipervnculo"/>
            <w:rFonts w:ascii="Tahoma" w:hAnsi="Tahoma" w:cs="Tahoma"/>
            <w:color w:val="2F5496" w:themeColor="accent5" w:themeShade="BF"/>
            <w:sz w:val="22"/>
            <w:szCs w:val="22"/>
            <w:shd w:val="clear" w:color="auto" w:fill="FFFFFF"/>
          </w:rPr>
          <w:t>La Tribuna de Albacete</w:t>
        </w:r>
      </w:hyperlink>
      <w:r>
        <w:rPr>
          <w:rFonts w:ascii="Tahoma" w:hAnsi="Tahoma" w:cs="Tahoma"/>
          <w:color w:val="2F5496" w:themeColor="accent5" w:themeShade="BF"/>
          <w:sz w:val="22"/>
          <w:szCs w:val="22"/>
          <w:shd w:val="clear" w:color="auto" w:fill="FFFFFF"/>
        </w:rPr>
        <w:t>, </w:t>
      </w:r>
      <w:hyperlink r:id="rId17" w:history="1">
        <w:r>
          <w:rPr>
            <w:rStyle w:val="Hipervnculo"/>
            <w:rFonts w:ascii="Tahoma" w:hAnsi="Tahoma" w:cs="Tahoma"/>
            <w:color w:val="2F5496" w:themeColor="accent5" w:themeShade="BF"/>
            <w:sz w:val="22"/>
            <w:szCs w:val="22"/>
            <w:shd w:val="clear" w:color="auto" w:fill="FFFFFF"/>
          </w:rPr>
          <w:t>Soliss Seguros</w:t>
        </w:r>
      </w:hyperlink>
      <w:r>
        <w:rPr>
          <w:rFonts w:ascii="Tahoma" w:hAnsi="Tahoma" w:cs="Tahoma"/>
          <w:color w:val="2F5496" w:themeColor="accent5" w:themeShade="BF"/>
          <w:sz w:val="22"/>
          <w:szCs w:val="22"/>
          <w:shd w:val="clear" w:color="auto" w:fill="FFFFFF"/>
        </w:rPr>
        <w:t>, </w:t>
      </w:r>
      <w:hyperlink r:id="rId18" w:history="1">
        <w:r>
          <w:rPr>
            <w:rStyle w:val="Hipervnculo"/>
            <w:rFonts w:ascii="Tahoma" w:hAnsi="Tahoma" w:cs="Tahoma"/>
            <w:color w:val="2F5496" w:themeColor="accent5" w:themeShade="BF"/>
            <w:sz w:val="22"/>
            <w:szCs w:val="22"/>
            <w:shd w:val="clear" w:color="auto" w:fill="FFFFFF"/>
          </w:rPr>
          <w:t>Beatriz Hoteles</w:t>
        </w:r>
      </w:hyperlink>
      <w:r>
        <w:rPr>
          <w:rFonts w:ascii="Tahoma" w:hAnsi="Tahoma" w:cs="Tahoma"/>
          <w:color w:val="2F5496" w:themeColor="accent5" w:themeShade="BF"/>
          <w:sz w:val="22"/>
          <w:szCs w:val="22"/>
          <w:shd w:val="clear" w:color="auto" w:fill="FFFFFF"/>
        </w:rPr>
        <w:t>, </w:t>
      </w:r>
      <w:hyperlink r:id="rId19" w:history="1">
        <w:r>
          <w:rPr>
            <w:rStyle w:val="Hipervnculo"/>
            <w:rFonts w:ascii="Tahoma" w:hAnsi="Tahoma" w:cs="Tahoma"/>
            <w:color w:val="2F5496" w:themeColor="accent5" w:themeShade="BF"/>
            <w:sz w:val="22"/>
            <w:szCs w:val="22"/>
            <w:shd w:val="clear" w:color="auto" w:fill="FFFFFF"/>
          </w:rPr>
          <w:t>Banco Santander</w:t>
        </w:r>
      </w:hyperlink>
      <w:r>
        <w:rPr>
          <w:rFonts w:ascii="Tahoma" w:hAnsi="Tahoma" w:cs="Tahoma"/>
          <w:color w:val="2F5496" w:themeColor="accent5" w:themeShade="BF"/>
          <w:sz w:val="22"/>
          <w:szCs w:val="22"/>
          <w:shd w:val="clear" w:color="auto" w:fill="FFFFFF"/>
        </w:rPr>
        <w:t xml:space="preserve">, </w:t>
      </w:r>
      <w:hyperlink r:id="rId20" w:history="1">
        <w:r w:rsidRPr="006B45E1">
          <w:rPr>
            <w:rStyle w:val="Hipervnculo"/>
            <w:rFonts w:ascii="Tahoma" w:hAnsi="Tahoma" w:cs="Tahoma"/>
            <w:sz w:val="22"/>
            <w:szCs w:val="22"/>
            <w:shd w:val="clear" w:color="auto" w:fill="FFFFFF"/>
          </w:rPr>
          <w:t>Fundación “la Caixa”</w:t>
        </w:r>
      </w:hyperlink>
      <w:r>
        <w:rPr>
          <w:rFonts w:ascii="Tahoma" w:hAnsi="Tahoma" w:cs="Tahoma"/>
          <w:color w:val="2F5496" w:themeColor="accent5" w:themeShade="BF"/>
          <w:sz w:val="22"/>
          <w:szCs w:val="22"/>
          <w:shd w:val="clear" w:color="auto" w:fill="FFFFFF"/>
        </w:rPr>
        <w:t xml:space="preserve"> y el </w:t>
      </w:r>
      <w:hyperlink r:id="rId21" w:history="1">
        <w:r>
          <w:rPr>
            <w:rStyle w:val="Hipervnculo"/>
            <w:rFonts w:ascii="Tahoma" w:hAnsi="Tahoma" w:cs="Tahoma"/>
            <w:color w:val="2F5496" w:themeColor="accent5" w:themeShade="BF"/>
            <w:sz w:val="22"/>
            <w:szCs w:val="22"/>
            <w:shd w:val="clear" w:color="auto" w:fill="FFFFFF"/>
          </w:rPr>
          <w:t>Ayuntamiento de Albacete</w:t>
        </w:r>
      </w:hyperlink>
      <w:r>
        <w:rPr>
          <w:rFonts w:ascii="Tahoma" w:hAnsi="Tahoma" w:cs="Tahoma"/>
          <w:color w:val="2F5496" w:themeColor="accent5" w:themeShade="BF"/>
          <w:sz w:val="22"/>
          <w:szCs w:val="22"/>
          <w:shd w:val="clear" w:color="auto" w:fill="FFFFFF"/>
        </w:rPr>
        <w:t>. </w:t>
      </w:r>
      <w:hyperlink r:id="rId22" w:history="1">
        <w:r>
          <w:rPr>
            <w:rStyle w:val="Hipervnculo"/>
            <w:rFonts w:ascii="Tahoma" w:hAnsi="Tahoma" w:cs="Tahoma"/>
            <w:color w:val="2F5496" w:themeColor="accent5" w:themeShade="BF"/>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3" w:history="1">
        <w:r>
          <w:rPr>
            <w:rStyle w:val="Hipervnculo"/>
            <w:rFonts w:ascii="Tahoma" w:hAnsi="Tahoma" w:cs="Tahoma"/>
            <w:sz w:val="22"/>
            <w:szCs w:val="22"/>
          </w:rPr>
          <w:t>Globalcaja</w:t>
        </w:r>
      </w:hyperlink>
      <w:r>
        <w:rPr>
          <w:rFonts w:ascii="Tahoma" w:hAnsi="Tahoma" w:cs="Tahoma"/>
          <w:sz w:val="22"/>
          <w:szCs w:val="22"/>
        </w:rPr>
        <w:t xml:space="preserve"> que va de la mano de FEDA en la Gala de entrega de estos Premios.</w:t>
      </w:r>
    </w:p>
    <w:p w:rsidR="00251FBE" w:rsidRDefault="00251FBE" w:rsidP="00251FBE">
      <w:pPr>
        <w:rPr>
          <w:rFonts w:ascii="Tahoma" w:hAnsi="Tahoma" w:cs="Tahoma"/>
          <w:b/>
          <w:bCs/>
          <w:szCs w:val="24"/>
        </w:rPr>
      </w:pPr>
    </w:p>
    <w:p w:rsidR="00251FBE" w:rsidRDefault="00251FBE" w:rsidP="00251FBE">
      <w:pPr>
        <w:rPr>
          <w:rFonts w:ascii="Tahoma" w:hAnsi="Tahoma" w:cs="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w:t>
      </w:r>
      <w:r>
        <w:rPr>
          <w:rStyle w:val="Textoennegrita"/>
          <w:rFonts w:ascii="Tahoma" w:hAnsi="Tahoma" w:cs="Tahoma"/>
          <w:b w:val="0"/>
          <w:sz w:val="22"/>
          <w:szCs w:val="22"/>
          <w:bdr w:val="none" w:sz="0" w:space="0" w:color="auto" w:frame="1"/>
          <w:shd w:val="clear" w:color="auto" w:fill="FFFFFF"/>
        </w:rPr>
        <w:t>reconocer públicamente</w:t>
      </w:r>
      <w:r>
        <w:rPr>
          <w:rFonts w:ascii="Tahoma" w:hAnsi="Tahoma" w:cs="Tahoma"/>
          <w:sz w:val="22"/>
          <w:szCs w:val="22"/>
          <w:shd w:val="clear" w:color="auto" w:fill="FFFFFF"/>
        </w:rPr>
        <w:t>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w:t>
      </w:r>
    </w:p>
    <w:p w:rsidR="00251FBE" w:rsidRDefault="00251FBE" w:rsidP="00251FBE">
      <w:pPr>
        <w:ind w:firstLine="708"/>
        <w:rPr>
          <w:rFonts w:ascii="Tahoma" w:hAnsi="Tahoma"/>
          <w:sz w:val="22"/>
          <w:szCs w:val="22"/>
        </w:rPr>
      </w:pPr>
    </w:p>
    <w:p w:rsidR="00251FBE" w:rsidRDefault="00251FBE" w:rsidP="00251FBE">
      <w:pPr>
        <w:rPr>
          <w:rFonts w:ascii="Tahoma" w:hAnsi="Tahoma" w:cs="Tahoma"/>
          <w:sz w:val="22"/>
          <w:szCs w:val="22"/>
        </w:rPr>
      </w:pPr>
      <w:r>
        <w:rPr>
          <w:rFonts w:ascii="Tahoma" w:hAnsi="Tahoma" w:cs="Tahoma"/>
          <w:sz w:val="22"/>
          <w:szCs w:val="22"/>
        </w:rPr>
        <w:t>La convocatoria e institucionalización de unos Premios Empresariales en la provincia de Albacete</w:t>
      </w:r>
      <w:r w:rsidR="008D59FC">
        <w:rPr>
          <w:rFonts w:ascii="Tahoma" w:hAnsi="Tahoma" w:cs="Tahoma"/>
          <w:sz w:val="22"/>
          <w:szCs w:val="22"/>
        </w:rPr>
        <w:t>, a una edición de llegar a sus bodas de plata,</w:t>
      </w:r>
      <w:r>
        <w:rPr>
          <w:rFonts w:ascii="Tahoma" w:hAnsi="Tahoma" w:cs="Tahoma"/>
          <w:sz w:val="22"/>
          <w:szCs w:val="22"/>
        </w:rPr>
        <w:t xml:space="preserv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p>
    <w:p w:rsidR="002F15A6" w:rsidRDefault="002F15A6" w:rsidP="002F15A6">
      <w:pPr>
        <w:jc w:val="right"/>
        <w:rPr>
          <w:rFonts w:ascii="Tahoma" w:hAnsi="Tahoma" w:cs="Tahoma"/>
          <w:bCs/>
          <w:sz w:val="22"/>
          <w:szCs w:val="22"/>
        </w:rPr>
      </w:pPr>
    </w:p>
    <w:sectPr w:rsidR="002F15A6" w:rsidSect="00702694">
      <w:headerReference w:type="default" r:id="rId24"/>
      <w:footerReference w:type="even" r:id="rId25"/>
      <w:footerReference w:type="default" r:id="rId2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A6210">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7A621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7A6210"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7A621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7A621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7A621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7A621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5"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9"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4"/>
  </w:num>
  <w:num w:numId="2">
    <w:abstractNumId w:val="6"/>
  </w:num>
  <w:num w:numId="3">
    <w:abstractNumId w:val="2"/>
  </w:num>
  <w:num w:numId="4">
    <w:abstractNumId w:val="1"/>
  </w:num>
  <w:num w:numId="5">
    <w:abstractNumId w:val="0"/>
  </w:num>
  <w:num w:numId="6">
    <w:abstractNumId w:val="12"/>
  </w:num>
  <w:num w:numId="7">
    <w:abstractNumId w:val="16"/>
  </w:num>
  <w:num w:numId="8">
    <w:abstractNumId w:val="25"/>
  </w:num>
  <w:num w:numId="9">
    <w:abstractNumId w:val="5"/>
  </w:num>
  <w:num w:numId="10">
    <w:abstractNumId w:val="31"/>
  </w:num>
  <w:num w:numId="11">
    <w:abstractNumId w:val="19"/>
  </w:num>
  <w:num w:numId="12">
    <w:abstractNumId w:val="17"/>
  </w:num>
  <w:num w:numId="13">
    <w:abstractNumId w:val="9"/>
  </w:num>
  <w:num w:numId="14">
    <w:abstractNumId w:val="30"/>
  </w:num>
  <w:num w:numId="15">
    <w:abstractNumId w:val="22"/>
  </w:num>
  <w:num w:numId="16">
    <w:abstractNumId w:val="11"/>
  </w:num>
  <w:num w:numId="17">
    <w:abstractNumId w:val="27"/>
  </w:num>
  <w:num w:numId="18">
    <w:abstractNumId w:val="26"/>
  </w:num>
  <w:num w:numId="19">
    <w:abstractNumId w:val="13"/>
  </w:num>
  <w:num w:numId="20">
    <w:abstractNumId w:val="21"/>
  </w:num>
  <w:num w:numId="21">
    <w:abstractNumId w:val="8"/>
  </w:num>
  <w:num w:numId="22">
    <w:abstractNumId w:val="18"/>
  </w:num>
  <w:num w:numId="23">
    <w:abstractNumId w:val="23"/>
  </w:num>
  <w:num w:numId="24">
    <w:abstractNumId w:val="7"/>
  </w:num>
  <w:num w:numId="25">
    <w:abstractNumId w:val="28"/>
  </w:num>
  <w:num w:numId="26">
    <w:abstractNumId w:val="15"/>
  </w:num>
  <w:num w:numId="27">
    <w:abstractNumId w:val="20"/>
  </w:num>
  <w:num w:numId="28">
    <w:abstractNumId w:val="10"/>
  </w:num>
  <w:num w:numId="29">
    <w:abstractNumId w:val="29"/>
    <w:lvlOverride w:ilvl="0"/>
    <w:lvlOverride w:ilvl="1"/>
    <w:lvlOverride w:ilvl="2"/>
    <w:lvlOverride w:ilvl="3"/>
    <w:lvlOverride w:ilvl="4"/>
    <w:lvlOverride w:ilvl="5"/>
    <w:lvlOverride w:ilvl="6"/>
    <w:lvlOverride w:ilvl="7"/>
    <w:lvlOverride w:ilvl="8"/>
  </w:num>
  <w:num w:numId="30">
    <w:abstractNumId w:val="14"/>
    <w:lvlOverride w:ilv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13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210"/>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131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3" TargetMode="External"/><Relationship Id="rId13" Type="http://schemas.openxmlformats.org/officeDocument/2006/relationships/hyperlink" Target="https://www.castillalamancha.es/" TargetMode="External"/><Relationship Id="rId18" Type="http://schemas.openxmlformats.org/officeDocument/2006/relationships/hyperlink" Target="https://www.beatrizhoteles.com/es/hotel-beatriz-albacete-spa-en-albacete/?partner=5348&amp;gclid=EAIaIQobChMI2py7xZWL6gIVwk0YCh1b8wHAEAAYASAAEgIVRPD_Bw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albacete.es/portada" TargetMode="External"/><Relationship Id="rId7" Type="http://schemas.openxmlformats.org/officeDocument/2006/relationships/endnotes" Target="endnot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soliss.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atribunadealbacete.es/" TargetMode="External"/><Relationship Id="rId20"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personas.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dipualba.es/Main/" TargetMode="External"/><Relationship Id="rId23" Type="http://schemas.openxmlformats.org/officeDocument/2006/relationships/hyperlink" Target="https://www.globalcaja.es/es/particulares/prestamos?gclid=EAIaIQobChMI_auilLjo9gIV-4xoCR3UEgkXEAAYASAAEgKn5vD_BwE" TargetMode="External"/><Relationship Id="rId28" Type="http://schemas.openxmlformats.org/officeDocument/2006/relationships/theme" Target="theme/theme1.xml"/><Relationship Id="rId10" Type="http://schemas.openxmlformats.org/officeDocument/2006/relationships/hyperlink" Target="https://www.caixabank.es/index_es.html" TargetMode="External"/><Relationship Id="rId19" Type="http://schemas.openxmlformats.org/officeDocument/2006/relationships/hyperlink" Target="https://www.bancosantander.es/es/particulares" TargetMode="External"/><Relationship Id="rId4" Type="http://schemas.openxmlformats.org/officeDocument/2006/relationships/settings" Target="settings.xml"/><Relationship Id="rId9" Type="http://schemas.openxmlformats.org/officeDocument/2006/relationships/hyperlink" Target="file:///C:\Users\eva\Downloads\Bases-San_Juan_2023%20(1).pdf" TargetMode="External"/><Relationship Id="rId14" Type="http://schemas.openxmlformats.org/officeDocument/2006/relationships/hyperlink" Target="https://eurocajarural.es/" TargetMode="External"/><Relationship Id="rId22" Type="http://schemas.openxmlformats.org/officeDocument/2006/relationships/hyperlink" Target="https://www.globalcaja.es/es/informacion-institucional/globalcaja-institucional/fundaciones/fundaciones-inst/"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A816D-074C-4E89-89B2-57EC63922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5125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5824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2023-05-10T09:26:00Z</dcterms:created>
  <dcterms:modified xsi:type="dcterms:W3CDTF">2023-05-10T09:26:00Z</dcterms:modified>
</cp:coreProperties>
</file>