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8E91D" w14:textId="77777777" w:rsidR="00C227D0" w:rsidRDefault="00C227D0" w:rsidP="00775496">
      <w:pPr>
        <w:jc w:val="right"/>
        <w:rPr>
          <w:rFonts w:ascii="Tahoma" w:hAnsi="Tahoma" w:cs="Tahoma"/>
          <w:bCs/>
          <w:szCs w:val="24"/>
        </w:rPr>
      </w:pPr>
    </w:p>
    <w:p w14:paraId="4AA9171B" w14:textId="77777777" w:rsidR="00CF5C64" w:rsidRDefault="00CF5C64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126C164E" w14:textId="77777777" w:rsidR="00CF5C64" w:rsidRDefault="00CF5C64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42F24BC7" w14:textId="61F81FFF" w:rsidR="00FD7E67" w:rsidRDefault="00DA2462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DA2462">
        <w:rPr>
          <w:rFonts w:ascii="Tahoma" w:hAnsi="Tahoma" w:cs="Tahoma"/>
          <w:b w:val="0"/>
          <w:bCs/>
          <w:sz w:val="22"/>
          <w:szCs w:val="22"/>
        </w:rPr>
        <w:t xml:space="preserve">Albacete, </w:t>
      </w:r>
      <w:r w:rsidR="00CF5C64">
        <w:rPr>
          <w:rFonts w:ascii="Tahoma" w:hAnsi="Tahoma" w:cs="Tahoma"/>
          <w:b w:val="0"/>
          <w:bCs/>
          <w:sz w:val="22"/>
          <w:szCs w:val="22"/>
        </w:rPr>
        <w:t>23</w:t>
      </w:r>
      <w:r w:rsidRPr="00DA2462">
        <w:rPr>
          <w:rFonts w:ascii="Tahoma" w:hAnsi="Tahoma" w:cs="Tahoma"/>
          <w:b w:val="0"/>
          <w:bCs/>
          <w:sz w:val="22"/>
          <w:szCs w:val="22"/>
        </w:rPr>
        <w:t xml:space="preserve"> de</w:t>
      </w:r>
      <w:r w:rsidR="00CF5C64">
        <w:rPr>
          <w:rFonts w:ascii="Tahoma" w:hAnsi="Tahoma" w:cs="Tahoma"/>
          <w:b w:val="0"/>
          <w:bCs/>
          <w:sz w:val="22"/>
          <w:szCs w:val="22"/>
        </w:rPr>
        <w:t xml:space="preserve"> enero </w:t>
      </w:r>
      <w:r w:rsidRPr="00DA2462">
        <w:rPr>
          <w:rFonts w:ascii="Tahoma" w:hAnsi="Tahoma" w:cs="Tahoma"/>
          <w:b w:val="0"/>
          <w:bCs/>
          <w:sz w:val="22"/>
          <w:szCs w:val="22"/>
        </w:rPr>
        <w:t>de 202</w:t>
      </w:r>
      <w:r w:rsidR="00CF5C64">
        <w:rPr>
          <w:rFonts w:ascii="Tahoma" w:hAnsi="Tahoma" w:cs="Tahoma"/>
          <w:b w:val="0"/>
          <w:bCs/>
          <w:sz w:val="22"/>
          <w:szCs w:val="22"/>
        </w:rPr>
        <w:t>4</w:t>
      </w:r>
    </w:p>
    <w:p w14:paraId="1AE5D8ED" w14:textId="77777777" w:rsidR="00CF5C64" w:rsidRPr="00DA2462" w:rsidRDefault="00CF5C64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29D9EC3A" w14:textId="7410AD40" w:rsidR="00CF5C64" w:rsidRDefault="00CF5C64" w:rsidP="00CF5C64">
      <w:pPr>
        <w:jc w:val="center"/>
        <w:rPr>
          <w:rFonts w:ascii="Tahoma" w:hAnsi="Tahoma" w:cs="Tahoma"/>
          <w:b/>
          <w:sz w:val="32"/>
          <w:szCs w:val="32"/>
        </w:rPr>
      </w:pPr>
      <w:r w:rsidRPr="00CF5C64">
        <w:rPr>
          <w:rFonts w:ascii="Tahoma" w:hAnsi="Tahoma" w:cs="Tahoma"/>
          <w:b/>
          <w:sz w:val="32"/>
          <w:szCs w:val="32"/>
        </w:rPr>
        <w:t xml:space="preserve">La apuesta central de la nueva directiva de la </w:t>
      </w:r>
      <w:r>
        <w:rPr>
          <w:rFonts w:ascii="Tahoma" w:hAnsi="Tahoma" w:cs="Tahoma"/>
          <w:b/>
          <w:sz w:val="32"/>
          <w:szCs w:val="32"/>
        </w:rPr>
        <w:t>A</w:t>
      </w:r>
      <w:r w:rsidRPr="00CF5C64">
        <w:rPr>
          <w:rFonts w:ascii="Tahoma" w:hAnsi="Tahoma" w:cs="Tahoma"/>
          <w:b/>
          <w:sz w:val="32"/>
          <w:szCs w:val="32"/>
        </w:rPr>
        <w:t xml:space="preserve">sociación </w:t>
      </w:r>
      <w:r>
        <w:rPr>
          <w:rFonts w:ascii="Tahoma" w:hAnsi="Tahoma" w:cs="Tahoma"/>
          <w:b/>
          <w:sz w:val="32"/>
          <w:szCs w:val="32"/>
        </w:rPr>
        <w:t>P</w:t>
      </w:r>
      <w:r w:rsidRPr="00CF5C64">
        <w:rPr>
          <w:rFonts w:ascii="Tahoma" w:hAnsi="Tahoma" w:cs="Tahoma"/>
          <w:b/>
          <w:sz w:val="32"/>
          <w:szCs w:val="32"/>
        </w:rPr>
        <w:t>rovincial de</w:t>
      </w:r>
      <w:r>
        <w:rPr>
          <w:rFonts w:ascii="Tahoma" w:hAnsi="Tahoma" w:cs="Tahoma"/>
          <w:b/>
          <w:sz w:val="32"/>
          <w:szCs w:val="32"/>
        </w:rPr>
        <w:t xml:space="preserve"> P</w:t>
      </w:r>
      <w:r w:rsidRPr="00CF5C64">
        <w:rPr>
          <w:rFonts w:ascii="Tahoma" w:hAnsi="Tahoma" w:cs="Tahoma"/>
          <w:b/>
          <w:sz w:val="32"/>
          <w:szCs w:val="32"/>
        </w:rPr>
        <w:t xml:space="preserve">eluqueros y afines de </w:t>
      </w:r>
      <w:r>
        <w:rPr>
          <w:rFonts w:ascii="Tahoma" w:hAnsi="Tahoma" w:cs="Tahoma"/>
          <w:b/>
          <w:sz w:val="32"/>
          <w:szCs w:val="32"/>
        </w:rPr>
        <w:t>A</w:t>
      </w:r>
      <w:r w:rsidRPr="00CF5C64">
        <w:rPr>
          <w:rFonts w:ascii="Tahoma" w:hAnsi="Tahoma" w:cs="Tahoma"/>
          <w:b/>
          <w:sz w:val="32"/>
          <w:szCs w:val="32"/>
        </w:rPr>
        <w:t xml:space="preserve">lbacete, </w:t>
      </w:r>
      <w:r>
        <w:rPr>
          <w:rFonts w:ascii="Tahoma" w:hAnsi="Tahoma" w:cs="Tahoma"/>
          <w:b/>
          <w:sz w:val="32"/>
          <w:szCs w:val="32"/>
        </w:rPr>
        <w:t>APAF,</w:t>
      </w:r>
      <w:r w:rsidRPr="00CF5C64">
        <w:rPr>
          <w:rFonts w:ascii="Tahoma" w:hAnsi="Tahoma" w:cs="Tahoma"/>
          <w:b/>
          <w:sz w:val="32"/>
          <w:szCs w:val="32"/>
        </w:rPr>
        <w:t xml:space="preserve"> integrada en </w:t>
      </w:r>
      <w:r>
        <w:rPr>
          <w:rFonts w:ascii="Tahoma" w:hAnsi="Tahoma" w:cs="Tahoma"/>
          <w:b/>
          <w:sz w:val="32"/>
          <w:szCs w:val="32"/>
        </w:rPr>
        <w:t>FEDA,</w:t>
      </w:r>
      <w:r w:rsidRPr="00CF5C64">
        <w:rPr>
          <w:rFonts w:ascii="Tahoma" w:hAnsi="Tahoma" w:cs="Tahoma"/>
          <w:b/>
          <w:sz w:val="32"/>
          <w:szCs w:val="32"/>
        </w:rPr>
        <w:t xml:space="preserve"> especializac</w:t>
      </w:r>
      <w:r>
        <w:rPr>
          <w:rFonts w:ascii="Tahoma" w:hAnsi="Tahoma" w:cs="Tahoma"/>
          <w:b/>
          <w:sz w:val="32"/>
          <w:szCs w:val="32"/>
        </w:rPr>
        <w:t>i</w:t>
      </w:r>
      <w:r w:rsidRPr="00CF5C64">
        <w:rPr>
          <w:rFonts w:ascii="Tahoma" w:hAnsi="Tahoma" w:cs="Tahoma"/>
          <w:b/>
          <w:sz w:val="32"/>
          <w:szCs w:val="32"/>
        </w:rPr>
        <w:t xml:space="preserve">ón del sector </w:t>
      </w:r>
    </w:p>
    <w:p w14:paraId="51937831" w14:textId="77777777" w:rsidR="00CF5C64" w:rsidRDefault="00CF5C64" w:rsidP="00CF5C64">
      <w:pPr>
        <w:jc w:val="center"/>
        <w:rPr>
          <w:rFonts w:ascii="Tahoma" w:hAnsi="Tahoma" w:cs="Tahoma"/>
          <w:b/>
          <w:sz w:val="32"/>
          <w:szCs w:val="32"/>
        </w:rPr>
      </w:pPr>
    </w:p>
    <w:p w14:paraId="3172D248" w14:textId="3660A150" w:rsidR="00CF5C64" w:rsidRPr="00CF5C64" w:rsidRDefault="00CF5C64" w:rsidP="00CF5C64">
      <w:pPr>
        <w:pStyle w:val="NormalWeb"/>
        <w:numPr>
          <w:ilvl w:val="0"/>
          <w:numId w:val="30"/>
        </w:numPr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Cs/>
          <w:sz w:val="22"/>
          <w:szCs w:val="22"/>
        </w:rPr>
      </w:pPr>
      <w:r w:rsidRPr="00CF5C64">
        <w:rPr>
          <w:rFonts w:ascii="Tahoma" w:hAnsi="Tahoma" w:cs="Tahoma"/>
          <w:b/>
          <w:sz w:val="22"/>
          <w:szCs w:val="22"/>
        </w:rPr>
        <w:t xml:space="preserve">La Asociación, desde su pertenencia a FEDA, forma parte de la Plataforma por la Legalidad, con el </w:t>
      </w:r>
      <w:r w:rsidRPr="00CF5C64">
        <w:rPr>
          <w:rStyle w:val="Textoennegrita"/>
          <w:rFonts w:ascii="Tahoma" w:hAnsi="Tahoma" w:cs="Tahoma"/>
          <w:bCs w:val="0"/>
          <w:sz w:val="22"/>
          <w:szCs w:val="22"/>
        </w:rPr>
        <w:t>objetivo principal luchar contra la economía sumergida y el intrusismo profesional</w:t>
      </w:r>
    </w:p>
    <w:p w14:paraId="1BA561BB" w14:textId="77777777" w:rsidR="00CF5C64" w:rsidRPr="00CF5C64" w:rsidRDefault="00CF5C64" w:rsidP="00CF5C64">
      <w:pPr>
        <w:jc w:val="center"/>
        <w:rPr>
          <w:rStyle w:val="Textoennegrita"/>
          <w:rFonts w:ascii="Tahoma" w:hAnsi="Tahoma" w:cs="Tahoma"/>
          <w:bCs w:val="0"/>
          <w:sz w:val="32"/>
          <w:szCs w:val="32"/>
        </w:rPr>
      </w:pPr>
    </w:p>
    <w:p w14:paraId="372E16E0" w14:textId="77777777" w:rsidR="00CF5C64" w:rsidRDefault="00CF5C64" w:rsidP="00CF5C64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Textoennegrita"/>
          <w:rFonts w:ascii="Tahoma" w:hAnsi="Tahoma" w:cs="Tahoma"/>
          <w:b w:val="0"/>
          <w:bCs w:val="0"/>
          <w:sz w:val="22"/>
          <w:szCs w:val="22"/>
        </w:rPr>
      </w:pPr>
    </w:p>
    <w:p w14:paraId="28483886" w14:textId="00F0F686" w:rsidR="00CF5C64" w:rsidRPr="00CF5C64" w:rsidRDefault="00CF5C64" w:rsidP="00CF5C64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Textoennegrita"/>
          <w:rFonts w:ascii="Tahoma" w:hAnsi="Tahoma" w:cs="Tahoma"/>
          <w:b w:val="0"/>
          <w:bCs w:val="0"/>
          <w:sz w:val="22"/>
          <w:szCs w:val="22"/>
        </w:rPr>
      </w:pPr>
      <w:r w:rsidRPr="00CF5C64">
        <w:rPr>
          <w:rStyle w:val="Textoennegrita"/>
          <w:rFonts w:ascii="Tahoma" w:hAnsi="Tahoma" w:cs="Tahoma"/>
          <w:b w:val="0"/>
          <w:bCs w:val="0"/>
          <w:sz w:val="22"/>
          <w:szCs w:val="22"/>
        </w:rPr>
        <w:t>La</w:t>
      </w:r>
      <w:r w:rsidRPr="00C51946">
        <w:rPr>
          <w:rStyle w:val="Textoennegrita"/>
          <w:rFonts w:ascii="Tahoma" w:hAnsi="Tahoma" w:cs="Tahoma"/>
          <w:sz w:val="22"/>
          <w:szCs w:val="22"/>
        </w:rPr>
        <w:t xml:space="preserve"> </w:t>
      </w:r>
      <w:hyperlink r:id="rId8" w:history="1">
        <w:r w:rsidRPr="008F12AB">
          <w:rPr>
            <w:rStyle w:val="Hipervnculo"/>
            <w:rFonts w:ascii="Tahoma" w:hAnsi="Tahoma" w:cs="Tahoma"/>
            <w:sz w:val="22"/>
            <w:szCs w:val="22"/>
          </w:rPr>
          <w:t>Asociación Provincial de Peluqueros y Afines de Albacete, APAF,</w:t>
        </w:r>
      </w:hyperlink>
      <w:r>
        <w:rPr>
          <w:rStyle w:val="Textoennegrita"/>
          <w:rFonts w:ascii="Tahoma" w:hAnsi="Tahoma" w:cs="Tahoma"/>
          <w:sz w:val="22"/>
          <w:szCs w:val="22"/>
        </w:rPr>
        <w:t xml:space="preserve"> </w:t>
      </w:r>
      <w:r w:rsidRPr="00CF5C64">
        <w:rPr>
          <w:rStyle w:val="Textoennegrita"/>
          <w:rFonts w:ascii="Tahoma" w:hAnsi="Tahoma" w:cs="Tahoma"/>
          <w:b w:val="0"/>
          <w:bCs w:val="0"/>
          <w:sz w:val="22"/>
          <w:szCs w:val="22"/>
        </w:rPr>
        <w:t>integrada en</w:t>
      </w:r>
      <w:r>
        <w:rPr>
          <w:rStyle w:val="Textoennegrita"/>
          <w:rFonts w:ascii="Tahoma" w:hAnsi="Tahoma" w:cs="Tahoma"/>
          <w:sz w:val="22"/>
          <w:szCs w:val="22"/>
        </w:rPr>
        <w:t xml:space="preserve"> </w:t>
      </w:r>
      <w:hyperlink r:id="rId9" w:history="1">
        <w:r w:rsidRPr="008F12AB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>
        <w:rPr>
          <w:rStyle w:val="Textoennegrita"/>
          <w:rFonts w:ascii="Tahoma" w:hAnsi="Tahoma" w:cs="Tahoma"/>
          <w:sz w:val="22"/>
          <w:szCs w:val="22"/>
        </w:rPr>
        <w:t xml:space="preserve"> </w:t>
      </w:r>
      <w:r w:rsidRPr="00CF5C64">
        <w:rPr>
          <w:rStyle w:val="Textoennegrita"/>
          <w:rFonts w:ascii="Tahoma" w:hAnsi="Tahoma" w:cs="Tahoma"/>
          <w:b w:val="0"/>
          <w:bCs w:val="0"/>
          <w:sz w:val="22"/>
          <w:szCs w:val="22"/>
        </w:rPr>
        <w:t xml:space="preserve">de forma indirecta desde el año 1981 y gestionada a partir de 2006, ha celebrado su Asamblea General Ordinaria, convocada por primera vez por la recién nombrada presidenta Mila Roldán Aroca. </w:t>
      </w:r>
    </w:p>
    <w:p w14:paraId="75AD4325" w14:textId="55F0E3BA" w:rsidR="00CF5C64" w:rsidRPr="00CF5C64" w:rsidRDefault="00CF5C64" w:rsidP="00CF5C64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Textoennegrita"/>
          <w:rFonts w:ascii="Tahoma" w:hAnsi="Tahoma" w:cs="Tahoma"/>
          <w:b w:val="0"/>
          <w:bCs w:val="0"/>
          <w:sz w:val="22"/>
          <w:szCs w:val="22"/>
        </w:rPr>
      </w:pPr>
      <w:r w:rsidRPr="00CF5C64">
        <w:rPr>
          <w:rStyle w:val="Textoennegrita"/>
          <w:rFonts w:ascii="Tahoma" w:hAnsi="Tahoma" w:cs="Tahoma"/>
          <w:b w:val="0"/>
          <w:bCs w:val="0"/>
          <w:sz w:val="22"/>
          <w:szCs w:val="22"/>
        </w:rPr>
        <w:t xml:space="preserve">En la misma se ha presentado el informe con las actuaciones realizadas por la </w:t>
      </w:r>
      <w:r>
        <w:rPr>
          <w:rStyle w:val="Textoennegrita"/>
          <w:rFonts w:ascii="Tahoma" w:hAnsi="Tahoma" w:cs="Tahoma"/>
          <w:b w:val="0"/>
          <w:bCs w:val="0"/>
          <w:sz w:val="22"/>
          <w:szCs w:val="22"/>
        </w:rPr>
        <w:t>A</w:t>
      </w:r>
      <w:r w:rsidRPr="00CF5C64">
        <w:rPr>
          <w:rStyle w:val="Textoennegrita"/>
          <w:rFonts w:ascii="Tahoma" w:hAnsi="Tahoma" w:cs="Tahoma"/>
          <w:b w:val="0"/>
          <w:bCs w:val="0"/>
          <w:sz w:val="22"/>
          <w:szCs w:val="22"/>
        </w:rPr>
        <w:t>sociación el pasado año y se ha informado del plan de trabajo para 2024, entre ellas la impartición de 3 cursos, el primero de ellos “Gestión de empresas”</w:t>
      </w:r>
      <w:r>
        <w:rPr>
          <w:rStyle w:val="Textoennegrita"/>
          <w:rFonts w:ascii="Tahoma" w:hAnsi="Tahoma" w:cs="Tahoma"/>
          <w:b w:val="0"/>
          <w:bCs w:val="0"/>
          <w:sz w:val="22"/>
          <w:szCs w:val="22"/>
        </w:rPr>
        <w:t>,</w:t>
      </w:r>
      <w:r w:rsidRPr="00CF5C64">
        <w:rPr>
          <w:rStyle w:val="Textoennegrita"/>
          <w:rFonts w:ascii="Tahoma" w:hAnsi="Tahoma" w:cs="Tahoma"/>
          <w:b w:val="0"/>
          <w:bCs w:val="0"/>
          <w:sz w:val="22"/>
          <w:szCs w:val="22"/>
        </w:rPr>
        <w:t xml:space="preserve"> que ya se ha realizado con un gran éxito de participación, las otras dos formaciones que están programadas son una dirigida a la peluquería de caballeros y otra formación para peluquería de señoras. </w:t>
      </w:r>
    </w:p>
    <w:p w14:paraId="12F5D3D0" w14:textId="4BA358D2" w:rsidR="00CF5C64" w:rsidRPr="00CF5C64" w:rsidRDefault="00CF5C64" w:rsidP="00CF5C64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Textoennegrita"/>
          <w:rFonts w:ascii="Tahoma" w:hAnsi="Tahoma" w:cs="Tahoma"/>
          <w:b w:val="0"/>
          <w:bCs w:val="0"/>
          <w:sz w:val="22"/>
          <w:szCs w:val="22"/>
        </w:rPr>
      </w:pPr>
      <w:r w:rsidRPr="00CF5C64">
        <w:rPr>
          <w:rStyle w:val="Textoennegrita"/>
          <w:rFonts w:ascii="Tahoma" w:hAnsi="Tahoma" w:cs="Tahoma"/>
          <w:b w:val="0"/>
          <w:bCs w:val="0"/>
          <w:sz w:val="22"/>
          <w:szCs w:val="22"/>
        </w:rPr>
        <w:t>La Asociación tiene desde siempre un reto importante y es involucrar a los estudiantes tanto de las distintas academias como del IES Al-Basit en APAF</w:t>
      </w:r>
      <w:r>
        <w:rPr>
          <w:rStyle w:val="Textoennegrita"/>
          <w:rFonts w:ascii="Tahoma" w:hAnsi="Tahoma" w:cs="Tahoma"/>
          <w:b w:val="0"/>
          <w:bCs w:val="0"/>
          <w:sz w:val="22"/>
          <w:szCs w:val="22"/>
        </w:rPr>
        <w:t>. E</w:t>
      </w:r>
      <w:r w:rsidRPr="00CF5C64">
        <w:rPr>
          <w:rStyle w:val="Textoennegrita"/>
          <w:rFonts w:ascii="Tahoma" w:hAnsi="Tahoma" w:cs="Tahoma"/>
          <w:b w:val="0"/>
          <w:bCs w:val="0"/>
          <w:sz w:val="22"/>
          <w:szCs w:val="22"/>
        </w:rPr>
        <w:t>n primer lugar para que una vez que se incorporen al mercado laboral ya conozcan los servicios con los que puedan contar y</w:t>
      </w:r>
      <w:r>
        <w:rPr>
          <w:rStyle w:val="Textoennegrita"/>
          <w:rFonts w:ascii="Tahoma" w:hAnsi="Tahoma" w:cs="Tahoma"/>
          <w:b w:val="0"/>
          <w:bCs w:val="0"/>
          <w:sz w:val="22"/>
          <w:szCs w:val="22"/>
        </w:rPr>
        <w:t xml:space="preserve">, </w:t>
      </w:r>
      <w:r w:rsidRPr="00CF5C64">
        <w:rPr>
          <w:rStyle w:val="Textoennegrita"/>
          <w:rFonts w:ascii="Tahoma" w:hAnsi="Tahoma" w:cs="Tahoma"/>
          <w:b w:val="0"/>
          <w:bCs w:val="0"/>
          <w:sz w:val="22"/>
          <w:szCs w:val="22"/>
        </w:rPr>
        <w:t>por otra parte</w:t>
      </w:r>
      <w:r>
        <w:rPr>
          <w:rStyle w:val="Textoennegrita"/>
          <w:rFonts w:ascii="Tahoma" w:hAnsi="Tahoma" w:cs="Tahoma"/>
          <w:b w:val="0"/>
          <w:bCs w:val="0"/>
          <w:sz w:val="22"/>
          <w:szCs w:val="22"/>
        </w:rPr>
        <w:t>,</w:t>
      </w:r>
      <w:r w:rsidRPr="00CF5C64">
        <w:rPr>
          <w:rStyle w:val="Textoennegrita"/>
          <w:rFonts w:ascii="Tahoma" w:hAnsi="Tahoma" w:cs="Tahoma"/>
          <w:b w:val="0"/>
          <w:bCs w:val="0"/>
          <w:sz w:val="22"/>
          <w:szCs w:val="22"/>
        </w:rPr>
        <w:t xml:space="preserve"> este año se pretende contar con ellos para la preparación de alguna gala y que muestren el trabajo que hacen, por ello se </w:t>
      </w:r>
      <w:r>
        <w:rPr>
          <w:rStyle w:val="Textoennegrita"/>
          <w:rFonts w:ascii="Tahoma" w:hAnsi="Tahoma" w:cs="Tahoma"/>
          <w:b w:val="0"/>
          <w:bCs w:val="0"/>
          <w:sz w:val="22"/>
          <w:szCs w:val="22"/>
        </w:rPr>
        <w:t>quiere</w:t>
      </w:r>
      <w:r w:rsidRPr="00CF5C64">
        <w:rPr>
          <w:rStyle w:val="Textoennegrita"/>
          <w:rFonts w:ascii="Tahoma" w:hAnsi="Tahoma" w:cs="Tahoma"/>
          <w:b w:val="0"/>
          <w:bCs w:val="0"/>
          <w:sz w:val="22"/>
          <w:szCs w:val="22"/>
        </w:rPr>
        <w:t xml:space="preserve"> organizar alguna charla en los centros indicados. </w:t>
      </w:r>
    </w:p>
    <w:p w14:paraId="7BCB7F4B" w14:textId="452ED0F2" w:rsidR="00CF5C64" w:rsidRPr="00CF5C64" w:rsidRDefault="00CF5C64" w:rsidP="00CF5C64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Textoennegrita"/>
          <w:rFonts w:ascii="Tahoma" w:hAnsi="Tahoma" w:cs="Tahoma"/>
          <w:b w:val="0"/>
          <w:bCs w:val="0"/>
          <w:sz w:val="22"/>
          <w:szCs w:val="22"/>
        </w:rPr>
      </w:pPr>
      <w:r w:rsidRPr="00CF5C64">
        <w:rPr>
          <w:rStyle w:val="Textoennegrita"/>
          <w:rFonts w:ascii="Tahoma" w:hAnsi="Tahoma" w:cs="Tahoma"/>
          <w:b w:val="0"/>
          <w:bCs w:val="0"/>
          <w:sz w:val="22"/>
          <w:szCs w:val="22"/>
        </w:rPr>
        <w:t>APAF pondrá a disposición de los socios un curso de redes sociales que se va a celebrar el próximo mes de febrero</w:t>
      </w:r>
      <w:r>
        <w:rPr>
          <w:rStyle w:val="Textoennegrita"/>
          <w:rFonts w:ascii="Tahoma" w:hAnsi="Tahoma" w:cs="Tahoma"/>
          <w:b w:val="0"/>
          <w:bCs w:val="0"/>
          <w:sz w:val="22"/>
          <w:szCs w:val="22"/>
        </w:rPr>
        <w:t>,</w:t>
      </w:r>
      <w:r w:rsidRPr="00CF5C64">
        <w:rPr>
          <w:rStyle w:val="Textoennegrita"/>
          <w:rFonts w:ascii="Tahoma" w:hAnsi="Tahoma" w:cs="Tahoma"/>
          <w:b w:val="0"/>
          <w:bCs w:val="0"/>
          <w:sz w:val="22"/>
          <w:szCs w:val="22"/>
        </w:rPr>
        <w:t xml:space="preserve"> ya que est</w:t>
      </w:r>
      <w:r>
        <w:rPr>
          <w:rStyle w:val="Textoennegrita"/>
          <w:rFonts w:ascii="Tahoma" w:hAnsi="Tahoma" w:cs="Tahoma"/>
          <w:b w:val="0"/>
          <w:bCs w:val="0"/>
          <w:sz w:val="22"/>
          <w:szCs w:val="22"/>
        </w:rPr>
        <w:t>a</w:t>
      </w:r>
      <w:r w:rsidRPr="00CF5C64">
        <w:rPr>
          <w:rStyle w:val="Textoennegrita"/>
          <w:rFonts w:ascii="Tahoma" w:hAnsi="Tahoma" w:cs="Tahoma"/>
          <w:b w:val="0"/>
          <w:bCs w:val="0"/>
          <w:sz w:val="22"/>
          <w:szCs w:val="22"/>
        </w:rPr>
        <w:t xml:space="preserve">s se consideran importantes para el sector.  </w:t>
      </w:r>
    </w:p>
    <w:p w14:paraId="48DF4AF2" w14:textId="3012B579" w:rsidR="00CF5C64" w:rsidRPr="00CF5C64" w:rsidRDefault="00CF5C64" w:rsidP="00CF5C64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Textoennegrita"/>
          <w:rFonts w:ascii="Tahoma" w:hAnsi="Tahoma" w:cs="Tahoma"/>
          <w:b w:val="0"/>
          <w:bCs w:val="0"/>
          <w:sz w:val="22"/>
          <w:szCs w:val="22"/>
        </w:rPr>
      </w:pPr>
      <w:r w:rsidRPr="00CF5C64">
        <w:rPr>
          <w:rStyle w:val="Textoennegrita"/>
          <w:rFonts w:ascii="Tahoma" w:hAnsi="Tahoma" w:cs="Tahoma"/>
          <w:b w:val="0"/>
          <w:bCs w:val="0"/>
          <w:sz w:val="22"/>
          <w:szCs w:val="22"/>
        </w:rPr>
        <w:t>La presidenta agradece a Inma Liñan, Sergio Carrilero y Jheynssons Stevens la organización y participación de forma gratuita en el desfile que se celebró durante la cena de hermandad. Inma Liñan anima a los presentes a que en los próximos años participen en la organización de este evento y se haga una demostración del trabajo que cada uno hace.</w:t>
      </w:r>
    </w:p>
    <w:p w14:paraId="394AF291" w14:textId="77777777" w:rsidR="00CF5C64" w:rsidRPr="00CF5C64" w:rsidRDefault="00CF5C64" w:rsidP="00CF5C64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Textoennegrita"/>
          <w:rFonts w:ascii="Tahoma" w:hAnsi="Tahoma" w:cs="Tahoma"/>
          <w:b w:val="0"/>
          <w:bCs w:val="0"/>
          <w:sz w:val="22"/>
          <w:szCs w:val="22"/>
        </w:rPr>
      </w:pPr>
      <w:r w:rsidRPr="00CF5C64">
        <w:rPr>
          <w:rStyle w:val="Textoennegrita"/>
          <w:rFonts w:ascii="Tahoma" w:hAnsi="Tahoma" w:cs="Tahoma"/>
          <w:b w:val="0"/>
          <w:bCs w:val="0"/>
          <w:sz w:val="22"/>
          <w:szCs w:val="22"/>
        </w:rPr>
        <w:t xml:space="preserve">También se comenta que este año se quiere celebrar el patrón de los peluqueros, San Martín de Porres, que se conmemora en el mes de noviembre. </w:t>
      </w:r>
    </w:p>
    <w:p w14:paraId="0B48778D" w14:textId="77777777" w:rsidR="00CF5C64" w:rsidRPr="00CF5C64" w:rsidRDefault="00CF5C64" w:rsidP="00CF5C64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Textoennegrita"/>
          <w:rFonts w:ascii="Tahoma" w:hAnsi="Tahoma" w:cs="Tahoma"/>
          <w:sz w:val="22"/>
          <w:szCs w:val="22"/>
        </w:rPr>
      </w:pPr>
      <w:r w:rsidRPr="00CF5C64">
        <w:rPr>
          <w:rStyle w:val="Textoennegrita"/>
          <w:rFonts w:ascii="Tahoma" w:hAnsi="Tahoma" w:cs="Tahoma"/>
          <w:b w:val="0"/>
          <w:bCs w:val="0"/>
          <w:sz w:val="22"/>
          <w:szCs w:val="22"/>
        </w:rPr>
        <w:t xml:space="preserve">La Asociación Provincial de Peluqueros y Afines de Albacete, APAF, están compuesta en la actualidad por 120 socios, al estar integrada en la patronal forma parte de los órganos de gobierno de FEDA y tiene acceso a todos su </w:t>
      </w:r>
      <w:hyperlink r:id="rId10" w:history="1">
        <w:r w:rsidRPr="00CF5C64">
          <w:rPr>
            <w:rStyle w:val="Hipervnculo"/>
            <w:rFonts w:ascii="Tahoma" w:hAnsi="Tahoma" w:cs="Tahoma"/>
            <w:sz w:val="22"/>
            <w:szCs w:val="22"/>
          </w:rPr>
          <w:t>servicios,</w:t>
        </w:r>
      </w:hyperlink>
      <w:r w:rsidRPr="00CF5C64">
        <w:rPr>
          <w:rStyle w:val="Textoennegrita"/>
          <w:rFonts w:ascii="Tahoma" w:hAnsi="Tahoma" w:cs="Tahoma"/>
          <w:b w:val="0"/>
          <w:bCs w:val="0"/>
          <w:sz w:val="22"/>
          <w:szCs w:val="22"/>
        </w:rPr>
        <w:t xml:space="preserve"> como entidad. Sus asociados tienen a su disposición los </w:t>
      </w:r>
      <w:hyperlink r:id="rId11" w:history="1">
        <w:r w:rsidRPr="00CF5C64">
          <w:rPr>
            <w:rStyle w:val="Hipervnculo"/>
            <w:rFonts w:ascii="Tahoma" w:hAnsi="Tahoma" w:cs="Tahoma"/>
            <w:sz w:val="22"/>
            <w:szCs w:val="22"/>
          </w:rPr>
          <w:t>convenios de descuento que ofrece FEDA</w:t>
        </w:r>
      </w:hyperlink>
      <w:r w:rsidRPr="00CF5C64">
        <w:rPr>
          <w:rStyle w:val="Textoennegrita"/>
          <w:rFonts w:ascii="Tahoma" w:hAnsi="Tahoma" w:cs="Tahoma"/>
          <w:sz w:val="22"/>
          <w:szCs w:val="22"/>
        </w:rPr>
        <w:t xml:space="preserve">. </w:t>
      </w:r>
    </w:p>
    <w:p w14:paraId="761F0BA6" w14:textId="58C8A977" w:rsidR="00CF5C64" w:rsidRDefault="00CF5C64" w:rsidP="00CF5C64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Textoennegrita"/>
          <w:rFonts w:ascii="Tahoma" w:hAnsi="Tahoma" w:cs="Tahoma"/>
          <w:b w:val="0"/>
          <w:bCs w:val="0"/>
          <w:sz w:val="22"/>
          <w:szCs w:val="22"/>
        </w:rPr>
      </w:pPr>
      <w:r w:rsidRPr="00CF5C64">
        <w:rPr>
          <w:rStyle w:val="Textoennegrita"/>
          <w:rFonts w:ascii="Tahoma" w:hAnsi="Tahoma" w:cs="Tahoma"/>
          <w:b w:val="0"/>
          <w:bCs w:val="0"/>
          <w:sz w:val="22"/>
          <w:szCs w:val="22"/>
        </w:rPr>
        <w:t xml:space="preserve">APAF participa de forma activa en la </w:t>
      </w:r>
      <w:hyperlink r:id="rId12" w:history="1">
        <w:r w:rsidRPr="00CF5C64">
          <w:rPr>
            <w:rStyle w:val="Hipervnculo"/>
            <w:rFonts w:ascii="Tahoma" w:hAnsi="Tahoma" w:cs="Tahoma"/>
            <w:sz w:val="22"/>
            <w:szCs w:val="22"/>
          </w:rPr>
          <w:t>Plataforma por la Legalidad</w:t>
        </w:r>
      </w:hyperlink>
      <w:r w:rsidRPr="00CF5C64">
        <w:rPr>
          <w:rStyle w:val="Textoennegrita"/>
          <w:rFonts w:ascii="Tahoma" w:hAnsi="Tahoma" w:cs="Tahoma"/>
          <w:b w:val="0"/>
          <w:bCs w:val="0"/>
          <w:sz w:val="22"/>
          <w:szCs w:val="22"/>
        </w:rPr>
        <w:t xml:space="preserve">, constituida en FEDA por más de 23 asociaciones y que tiene como </w:t>
      </w:r>
      <w:bookmarkStart w:id="0" w:name="_Hlk156903727"/>
      <w:r w:rsidRPr="00CF5C64">
        <w:rPr>
          <w:rStyle w:val="Textoennegrita"/>
          <w:rFonts w:ascii="Tahoma" w:hAnsi="Tahoma" w:cs="Tahoma"/>
          <w:b w:val="0"/>
          <w:bCs w:val="0"/>
          <w:sz w:val="22"/>
          <w:szCs w:val="22"/>
        </w:rPr>
        <w:t>objetivo principal luchar contra la economía sumergida y el intrusismo profesional.</w:t>
      </w:r>
    </w:p>
    <w:bookmarkEnd w:id="0"/>
    <w:sectPr w:rsidR="00CF5C64" w:rsidSect="00702694">
      <w:headerReference w:type="default" r:id="rId13"/>
      <w:footerReference w:type="even" r:id="rId14"/>
      <w:footerReference w:type="default" r:id="rId15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262D35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262D35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262D35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262D35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262D35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262D35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720CB223" w:rsidR="00A90926" w:rsidRPr="00262D35" w:rsidRDefault="00262D35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</w:rPr>
      <w:drawing>
        <wp:anchor distT="0" distB="0" distL="114300" distR="114300" simplePos="0" relativeHeight="251662848" behindDoc="0" locked="0" layoutInCell="1" allowOverlap="1" wp14:anchorId="23414010" wp14:editId="161DD4AF">
          <wp:simplePos x="0" y="0"/>
          <wp:positionH relativeFrom="column">
            <wp:posOffset>1375410</wp:posOffset>
          </wp:positionH>
          <wp:positionV relativeFrom="paragraph">
            <wp:posOffset>9525</wp:posOffset>
          </wp:positionV>
          <wp:extent cx="1343025" cy="561975"/>
          <wp:effectExtent l="0" t="0" r="9525" b="9525"/>
          <wp:wrapThrough wrapText="bothSides">
            <wp:wrapPolygon edited="0">
              <wp:start x="0" y="0"/>
              <wp:lineTo x="0" y="21234"/>
              <wp:lineTo x="21447" y="21234"/>
              <wp:lineTo x="21447" y="0"/>
              <wp:lineTo x="0" y="0"/>
            </wp:wrapPolygon>
          </wp:wrapThrough>
          <wp:docPr id="982585433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2585433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7AA3"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06AD575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AB4530C"/>
    <w:multiLevelType w:val="hybridMultilevel"/>
    <w:tmpl w:val="7D0CD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1649B7"/>
    <w:multiLevelType w:val="hybridMultilevel"/>
    <w:tmpl w:val="DCD6BFCC"/>
    <w:lvl w:ilvl="0" w:tplc="7A2C8E0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3F0C9F"/>
    <w:multiLevelType w:val="hybridMultilevel"/>
    <w:tmpl w:val="DEB6AB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0227E"/>
    <w:multiLevelType w:val="multilevel"/>
    <w:tmpl w:val="061E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1672746"/>
    <w:multiLevelType w:val="hybridMultilevel"/>
    <w:tmpl w:val="D18C6B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004B63"/>
    <w:multiLevelType w:val="hybridMultilevel"/>
    <w:tmpl w:val="BB4CF850"/>
    <w:lvl w:ilvl="0" w:tplc="E2AA4F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C291E84"/>
    <w:multiLevelType w:val="hybridMultilevel"/>
    <w:tmpl w:val="E0EC76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7F4584"/>
    <w:multiLevelType w:val="hybridMultilevel"/>
    <w:tmpl w:val="59D0F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64145C"/>
    <w:multiLevelType w:val="hybridMultilevel"/>
    <w:tmpl w:val="7BC6E1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C85E58"/>
    <w:multiLevelType w:val="hybridMultilevel"/>
    <w:tmpl w:val="3FB0B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FA52C8"/>
    <w:multiLevelType w:val="hybridMultilevel"/>
    <w:tmpl w:val="302435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51002B"/>
    <w:multiLevelType w:val="multilevel"/>
    <w:tmpl w:val="48322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5196E89"/>
    <w:multiLevelType w:val="hybridMultilevel"/>
    <w:tmpl w:val="ABF8E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1511B7"/>
    <w:multiLevelType w:val="hybridMultilevel"/>
    <w:tmpl w:val="98881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1D5B94"/>
    <w:multiLevelType w:val="hybridMultilevel"/>
    <w:tmpl w:val="05724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8567877"/>
    <w:multiLevelType w:val="hybridMultilevel"/>
    <w:tmpl w:val="9BF6C53A"/>
    <w:lvl w:ilvl="0" w:tplc="335808B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7" w15:restartNumberingAfterBreak="0">
    <w:nsid w:val="6C246F75"/>
    <w:multiLevelType w:val="hybridMultilevel"/>
    <w:tmpl w:val="525E33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F544357"/>
    <w:multiLevelType w:val="hybridMultilevel"/>
    <w:tmpl w:val="5038C6B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1854C93"/>
    <w:multiLevelType w:val="hybridMultilevel"/>
    <w:tmpl w:val="EE7A4E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8D56F0"/>
    <w:multiLevelType w:val="hybridMultilevel"/>
    <w:tmpl w:val="0220F0C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343B38"/>
    <w:multiLevelType w:val="hybridMultilevel"/>
    <w:tmpl w:val="0D828EF6"/>
    <w:lvl w:ilvl="0" w:tplc="E6C6CB48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26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558056186">
    <w:abstractNumId w:val="24"/>
  </w:num>
  <w:num w:numId="7" w16cid:durableId="94718398">
    <w:abstractNumId w:val="20"/>
  </w:num>
  <w:num w:numId="8" w16cid:durableId="39020734">
    <w:abstractNumId w:val="12"/>
  </w:num>
  <w:num w:numId="9" w16cid:durableId="272857923">
    <w:abstractNumId w:val="18"/>
  </w:num>
  <w:num w:numId="10" w16cid:durableId="1113865781">
    <w:abstractNumId w:val="21"/>
  </w:num>
  <w:num w:numId="11" w16cid:durableId="173803944">
    <w:abstractNumId w:val="11"/>
  </w:num>
  <w:num w:numId="12" w16cid:durableId="124128548">
    <w:abstractNumId w:val="9"/>
  </w:num>
  <w:num w:numId="13" w16cid:durableId="1302922694">
    <w:abstractNumId w:val="27"/>
  </w:num>
  <w:num w:numId="14" w16cid:durableId="1686007975">
    <w:abstractNumId w:val="7"/>
  </w:num>
  <w:num w:numId="15" w16cid:durableId="952202115">
    <w:abstractNumId w:val="31"/>
  </w:num>
  <w:num w:numId="16" w16cid:durableId="646975843">
    <w:abstractNumId w:val="25"/>
  </w:num>
  <w:num w:numId="17" w16cid:durableId="453064724">
    <w:abstractNumId w:val="16"/>
  </w:num>
  <w:num w:numId="18" w16cid:durableId="16448903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1531507">
    <w:abstractNumId w:val="30"/>
  </w:num>
  <w:num w:numId="20" w16cid:durableId="889194308">
    <w:abstractNumId w:val="23"/>
  </w:num>
  <w:num w:numId="21" w16cid:durableId="999969029">
    <w:abstractNumId w:val="28"/>
  </w:num>
  <w:num w:numId="22" w16cid:durableId="1715083673">
    <w:abstractNumId w:val="17"/>
  </w:num>
  <w:num w:numId="23" w16cid:durableId="245967200">
    <w:abstractNumId w:val="8"/>
  </w:num>
  <w:num w:numId="24" w16cid:durableId="182017765">
    <w:abstractNumId w:val="14"/>
  </w:num>
  <w:num w:numId="25" w16cid:durableId="920065433">
    <w:abstractNumId w:val="19"/>
  </w:num>
  <w:num w:numId="26" w16cid:durableId="407583471">
    <w:abstractNumId w:val="10"/>
  </w:num>
  <w:num w:numId="27" w16cid:durableId="2061050068">
    <w:abstractNumId w:val="22"/>
  </w:num>
  <w:num w:numId="28" w16cid:durableId="1881429648">
    <w:abstractNumId w:val="13"/>
  </w:num>
  <w:num w:numId="29" w16cid:durableId="1144850428">
    <w:abstractNumId w:val="29"/>
  </w:num>
  <w:num w:numId="30" w16cid:durableId="884803084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6303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41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42-asociacion-provincial-de-peluqueria-y-afines-de-albacete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eda.es/valor-anadido/plataforma-por-la-legalidad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servicios/convenios-descuento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feda.es/servicio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eda.es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464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3119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F O</cp:lastModifiedBy>
  <cp:revision>3</cp:revision>
  <cp:lastPrinted>2021-03-16T11:17:00Z</cp:lastPrinted>
  <dcterms:created xsi:type="dcterms:W3CDTF">2024-01-23T11:03:00Z</dcterms:created>
  <dcterms:modified xsi:type="dcterms:W3CDTF">2024-01-23T11:06:00Z</dcterms:modified>
</cp:coreProperties>
</file>