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C164E" w14:textId="77777777" w:rsidR="00CF5C64" w:rsidRDefault="00CF5C64" w:rsidP="00012CB7">
      <w:pPr>
        <w:pStyle w:val="Textoindependiente"/>
        <w:jc w:val="right"/>
        <w:rPr>
          <w:rFonts w:ascii="Tahoma" w:hAnsi="Tahoma" w:cs="Tahoma"/>
          <w:b w:val="0"/>
          <w:bCs/>
          <w:sz w:val="22"/>
          <w:szCs w:val="22"/>
        </w:rPr>
      </w:pPr>
    </w:p>
    <w:p w14:paraId="1A8578D1" w14:textId="77777777" w:rsidR="009D5ED1" w:rsidRDefault="009D5ED1" w:rsidP="00012CB7">
      <w:pPr>
        <w:pStyle w:val="Textoindependiente"/>
        <w:jc w:val="right"/>
        <w:rPr>
          <w:rFonts w:ascii="Tahoma" w:hAnsi="Tahoma" w:cs="Tahoma"/>
          <w:b w:val="0"/>
          <w:bCs/>
          <w:sz w:val="22"/>
          <w:szCs w:val="22"/>
        </w:rPr>
      </w:pPr>
    </w:p>
    <w:p w14:paraId="6BEFB3E6" w14:textId="77777777" w:rsidR="009D5ED1" w:rsidRDefault="009D5ED1" w:rsidP="00012CB7">
      <w:pPr>
        <w:pStyle w:val="Textoindependiente"/>
        <w:jc w:val="right"/>
        <w:rPr>
          <w:rFonts w:ascii="Tahoma" w:hAnsi="Tahoma" w:cs="Tahoma"/>
          <w:b w:val="0"/>
          <w:bCs/>
          <w:sz w:val="22"/>
          <w:szCs w:val="22"/>
        </w:rPr>
      </w:pPr>
    </w:p>
    <w:p w14:paraId="23B74DDE" w14:textId="750EEB9A" w:rsidR="00AF44C7" w:rsidRDefault="00DA2462" w:rsidP="00012CB7">
      <w:pPr>
        <w:pStyle w:val="Textoindependiente"/>
        <w:jc w:val="right"/>
        <w:rPr>
          <w:rFonts w:ascii="Tahoma" w:hAnsi="Tahoma" w:cs="Tahoma"/>
          <w:b w:val="0"/>
          <w:bCs/>
          <w:sz w:val="22"/>
          <w:szCs w:val="22"/>
        </w:rPr>
      </w:pPr>
      <w:r w:rsidRPr="00DA2462">
        <w:rPr>
          <w:rFonts w:ascii="Tahoma" w:hAnsi="Tahoma" w:cs="Tahoma"/>
          <w:b w:val="0"/>
          <w:bCs/>
          <w:sz w:val="22"/>
          <w:szCs w:val="22"/>
        </w:rPr>
        <w:t xml:space="preserve">Albacete, </w:t>
      </w:r>
      <w:r w:rsidR="009D5ED1">
        <w:rPr>
          <w:rFonts w:ascii="Tahoma" w:hAnsi="Tahoma" w:cs="Tahoma"/>
          <w:b w:val="0"/>
          <w:bCs/>
          <w:sz w:val="22"/>
          <w:szCs w:val="22"/>
        </w:rPr>
        <w:t>2</w:t>
      </w:r>
      <w:r w:rsidR="007177B1">
        <w:rPr>
          <w:rFonts w:ascii="Tahoma" w:hAnsi="Tahoma" w:cs="Tahoma"/>
          <w:b w:val="0"/>
          <w:bCs/>
          <w:sz w:val="22"/>
          <w:szCs w:val="22"/>
        </w:rPr>
        <w:t>6</w:t>
      </w:r>
      <w:r w:rsidR="0061604A">
        <w:rPr>
          <w:rFonts w:ascii="Tahoma" w:hAnsi="Tahoma" w:cs="Tahoma"/>
          <w:b w:val="0"/>
          <w:bCs/>
          <w:sz w:val="22"/>
          <w:szCs w:val="22"/>
        </w:rPr>
        <w:t xml:space="preserve"> de febrero de </w:t>
      </w:r>
      <w:r w:rsidRPr="00DA2462">
        <w:rPr>
          <w:rFonts w:ascii="Tahoma" w:hAnsi="Tahoma" w:cs="Tahoma"/>
          <w:b w:val="0"/>
          <w:bCs/>
          <w:sz w:val="22"/>
          <w:szCs w:val="22"/>
        </w:rPr>
        <w:t>202</w:t>
      </w:r>
      <w:r w:rsidR="00CF5C64">
        <w:rPr>
          <w:rFonts w:ascii="Tahoma" w:hAnsi="Tahoma" w:cs="Tahoma"/>
          <w:b w:val="0"/>
          <w:bCs/>
          <w:sz w:val="22"/>
          <w:szCs w:val="22"/>
        </w:rPr>
        <w:t>4</w:t>
      </w:r>
    </w:p>
    <w:p w14:paraId="10366EC4" w14:textId="77777777" w:rsidR="007177B1" w:rsidRDefault="007177B1" w:rsidP="00012CB7">
      <w:pPr>
        <w:pStyle w:val="Textoindependiente"/>
        <w:jc w:val="right"/>
        <w:rPr>
          <w:rFonts w:ascii="Tahoma" w:hAnsi="Tahoma" w:cs="Tahoma"/>
          <w:b w:val="0"/>
          <w:bCs/>
          <w:sz w:val="22"/>
          <w:szCs w:val="22"/>
        </w:rPr>
      </w:pPr>
    </w:p>
    <w:p w14:paraId="4F8F20C0" w14:textId="77777777" w:rsidR="007177B1" w:rsidRPr="00B522F1" w:rsidRDefault="007177B1" w:rsidP="007177B1">
      <w:pPr>
        <w:pStyle w:val="Textoindependiente"/>
        <w:rPr>
          <w:rFonts w:ascii="Tahoma" w:hAnsi="Tahoma" w:cs="Tahoma"/>
          <w:sz w:val="32"/>
          <w:szCs w:val="32"/>
        </w:rPr>
      </w:pPr>
    </w:p>
    <w:p w14:paraId="4BF4FD65" w14:textId="7228E379" w:rsidR="007177B1" w:rsidRDefault="007177B1" w:rsidP="007177B1">
      <w:pPr>
        <w:pStyle w:val="Textoindependiente"/>
        <w:rPr>
          <w:rFonts w:ascii="Tahoma" w:hAnsi="Tahoma" w:cs="Tahoma"/>
          <w:sz w:val="32"/>
          <w:szCs w:val="32"/>
        </w:rPr>
      </w:pPr>
      <w:r w:rsidRPr="007177B1">
        <w:rPr>
          <w:rFonts w:ascii="Tahoma" w:hAnsi="Tahoma" w:cs="Tahoma"/>
          <w:sz w:val="32"/>
          <w:szCs w:val="32"/>
        </w:rPr>
        <w:t xml:space="preserve">FEDA sigue apostando por la igualdad laboral, como equivalente a competitividad </w:t>
      </w:r>
      <w:r>
        <w:rPr>
          <w:rFonts w:ascii="Tahoma" w:hAnsi="Tahoma" w:cs="Tahoma"/>
          <w:sz w:val="32"/>
          <w:szCs w:val="32"/>
        </w:rPr>
        <w:t>de las empresas</w:t>
      </w:r>
    </w:p>
    <w:p w14:paraId="3EC71D9E" w14:textId="77777777" w:rsidR="007177B1" w:rsidRDefault="007177B1" w:rsidP="007177B1">
      <w:pPr>
        <w:pStyle w:val="Textoindependiente"/>
        <w:rPr>
          <w:rFonts w:ascii="Tahoma" w:hAnsi="Tahoma" w:cs="Tahoma"/>
          <w:sz w:val="32"/>
          <w:szCs w:val="32"/>
        </w:rPr>
      </w:pPr>
    </w:p>
    <w:p w14:paraId="4E9D02EE" w14:textId="5F806D25" w:rsidR="007177B1" w:rsidRDefault="007177B1" w:rsidP="007177B1">
      <w:pPr>
        <w:pStyle w:val="Textoindependiente"/>
        <w:numPr>
          <w:ilvl w:val="0"/>
          <w:numId w:val="37"/>
        </w:numPr>
        <w:ind w:left="142" w:hanging="142"/>
        <w:rPr>
          <w:rFonts w:ascii="Tahoma" w:hAnsi="Tahoma" w:cs="Tahoma"/>
          <w:sz w:val="22"/>
          <w:szCs w:val="22"/>
        </w:rPr>
      </w:pPr>
      <w:r>
        <w:rPr>
          <w:rFonts w:ascii="Tahoma" w:hAnsi="Tahoma" w:cs="Tahoma"/>
          <w:sz w:val="22"/>
          <w:szCs w:val="22"/>
        </w:rPr>
        <w:t>El presidente de la Confederación ha pedido seguir avanzando en la sensibilización y la formación de las plantillas a todos los niveles</w:t>
      </w:r>
    </w:p>
    <w:p w14:paraId="5E1EDB57" w14:textId="77777777" w:rsidR="007177B1" w:rsidRDefault="007177B1" w:rsidP="007177B1">
      <w:pPr>
        <w:pStyle w:val="Textoindependiente"/>
        <w:ind w:left="142"/>
        <w:jc w:val="both"/>
        <w:rPr>
          <w:rFonts w:ascii="Tahoma" w:hAnsi="Tahoma" w:cs="Tahoma"/>
          <w:sz w:val="22"/>
          <w:szCs w:val="22"/>
        </w:rPr>
      </w:pPr>
    </w:p>
    <w:p w14:paraId="0C09B1AD" w14:textId="44C21E13" w:rsidR="007177B1" w:rsidRDefault="007177B1" w:rsidP="007177B1">
      <w:pPr>
        <w:pStyle w:val="Textoindependiente"/>
        <w:numPr>
          <w:ilvl w:val="0"/>
          <w:numId w:val="37"/>
        </w:numPr>
        <w:ind w:left="142" w:hanging="142"/>
        <w:rPr>
          <w:rFonts w:ascii="Tahoma" w:hAnsi="Tahoma" w:cs="Tahoma"/>
          <w:sz w:val="22"/>
          <w:szCs w:val="22"/>
        </w:rPr>
      </w:pPr>
      <w:r>
        <w:rPr>
          <w:rFonts w:ascii="Tahoma" w:hAnsi="Tahoma" w:cs="Tahoma"/>
          <w:sz w:val="22"/>
          <w:szCs w:val="22"/>
        </w:rPr>
        <w:t>En el acto de entrega del distintivo del OPI y las menciones a las empresas se guardó un minuto de silencio en homenaje a las víctimas en el incendio de Valencia</w:t>
      </w:r>
    </w:p>
    <w:p w14:paraId="4D959052" w14:textId="77777777" w:rsidR="007177B1" w:rsidRDefault="007177B1" w:rsidP="007177B1">
      <w:pPr>
        <w:pStyle w:val="Prrafodelista"/>
        <w:rPr>
          <w:rFonts w:ascii="Tahoma" w:hAnsi="Tahoma" w:cs="Tahoma"/>
        </w:rPr>
      </w:pPr>
    </w:p>
    <w:p w14:paraId="73D8572F" w14:textId="77777777" w:rsidR="007177B1" w:rsidRDefault="007177B1" w:rsidP="007177B1">
      <w:pPr>
        <w:pStyle w:val="Textoindependiente"/>
        <w:rPr>
          <w:rFonts w:ascii="Tahoma" w:hAnsi="Tahoma" w:cs="Tahoma"/>
          <w:sz w:val="22"/>
          <w:szCs w:val="22"/>
        </w:rPr>
      </w:pPr>
    </w:p>
    <w:p w14:paraId="3A1023BF" w14:textId="13689F84" w:rsidR="00FD6B65" w:rsidRDefault="007177B1" w:rsidP="007177B1">
      <w:pPr>
        <w:pStyle w:val="Textoindependiente"/>
        <w:jc w:val="both"/>
        <w:rPr>
          <w:rFonts w:ascii="Tahoma" w:hAnsi="Tahoma" w:cs="Tahoma"/>
          <w:b w:val="0"/>
          <w:bCs/>
          <w:sz w:val="22"/>
          <w:szCs w:val="22"/>
        </w:rPr>
      </w:pPr>
      <w:r>
        <w:rPr>
          <w:rFonts w:ascii="Tahoma" w:hAnsi="Tahoma" w:cs="Tahoma"/>
          <w:b w:val="0"/>
          <w:bCs/>
          <w:sz w:val="22"/>
          <w:szCs w:val="22"/>
        </w:rPr>
        <w:t xml:space="preserve">El presidente de </w:t>
      </w:r>
      <w:hyperlink r:id="rId8" w:history="1">
        <w:r w:rsidRPr="00B50C2A">
          <w:rPr>
            <w:rStyle w:val="Hipervnculo"/>
            <w:rFonts w:ascii="Tahoma" w:hAnsi="Tahoma" w:cs="Tahoma"/>
            <w:b w:val="0"/>
            <w:bCs/>
            <w:sz w:val="22"/>
            <w:szCs w:val="22"/>
          </w:rPr>
          <w:t>FEDA</w:t>
        </w:r>
      </w:hyperlink>
      <w:r>
        <w:rPr>
          <w:rFonts w:ascii="Tahoma" w:hAnsi="Tahoma" w:cs="Tahoma"/>
          <w:b w:val="0"/>
          <w:bCs/>
          <w:sz w:val="22"/>
          <w:szCs w:val="22"/>
        </w:rPr>
        <w:t>, Artemio Pérez Alfaro, ha hecho una apuesta decidida por la igualdad laboral, “porque equivale a competitividad de nuestras empresas. La igualdad – ha dicho- no es un desafío, es una cuestión social. Tenemos que seguir avanzando en la sensibilización y la formación de nuestras plantillas a todos los niveles”. Así se ha pronunciado en el acto del OPI para la entrega del distintivo de “Promoción Igualdad Laboral”, que esta mañana se ha celebrado en el Centro Cultural de La Asunción, con los agentes sociales y las instituciones que participan. Asimismo, se han entregado las menciones de este Observatorio, lo que ha servido para que el máximo responsable de</w:t>
      </w:r>
      <w:r w:rsidR="00AF79D5">
        <w:rPr>
          <w:rFonts w:ascii="Tahoma" w:hAnsi="Tahoma" w:cs="Tahoma"/>
          <w:b w:val="0"/>
          <w:bCs/>
          <w:sz w:val="22"/>
          <w:szCs w:val="22"/>
        </w:rPr>
        <w:t xml:space="preserve"> la Confederación haya concluido: “Nuestra obligación es seguir siendo ejemplo a nivel de trabajo coordinado y conjunto entre las instituciones y los agentes sociales”. </w:t>
      </w:r>
    </w:p>
    <w:p w14:paraId="209B0E2F" w14:textId="77777777" w:rsidR="00AF79D5" w:rsidRDefault="00AF79D5" w:rsidP="007177B1">
      <w:pPr>
        <w:pStyle w:val="Textoindependiente"/>
        <w:jc w:val="both"/>
        <w:rPr>
          <w:rFonts w:ascii="Tahoma" w:hAnsi="Tahoma" w:cs="Tahoma"/>
          <w:b w:val="0"/>
          <w:bCs/>
          <w:sz w:val="22"/>
          <w:szCs w:val="22"/>
        </w:rPr>
      </w:pPr>
    </w:p>
    <w:p w14:paraId="79137703" w14:textId="77777777" w:rsidR="00AF79D5" w:rsidRDefault="00AF79D5" w:rsidP="00AF79D5">
      <w:pPr>
        <w:rPr>
          <w:rStyle w:val="Hipervnculo"/>
          <w:sz w:val="22"/>
          <w:szCs w:val="22"/>
        </w:rPr>
      </w:pPr>
      <w:r w:rsidRPr="00AF79D5">
        <w:rPr>
          <w:rFonts w:ascii="Tahoma" w:hAnsi="Tahoma" w:cs="Tahoma"/>
          <w:sz w:val="22"/>
          <w:szCs w:val="22"/>
        </w:rPr>
        <w:t xml:space="preserve">El </w:t>
      </w:r>
      <w:hyperlink r:id="rId9" w:history="1">
        <w:r w:rsidRPr="00AF79D5">
          <w:rPr>
            <w:rStyle w:val="Hipervnculo"/>
            <w:rFonts w:ascii="Tahoma" w:hAnsi="Tahoma" w:cs="Tahoma"/>
            <w:sz w:val="22"/>
            <w:szCs w:val="22"/>
          </w:rPr>
          <w:t>Observatorio Provincial de Igualdad en las Relaciones Laborales</w:t>
        </w:r>
      </w:hyperlink>
      <w:r w:rsidRPr="00AF79D5">
        <w:rPr>
          <w:rFonts w:ascii="Tahoma" w:hAnsi="Tahoma" w:cs="Tahoma"/>
          <w:sz w:val="22"/>
          <w:szCs w:val="22"/>
        </w:rPr>
        <w:t xml:space="preserve"> está promovido desde los agentes sociales </w:t>
      </w:r>
      <w:hyperlink r:id="rId10" w:history="1">
        <w:r w:rsidRPr="00AF79D5">
          <w:rPr>
            <w:rStyle w:val="Hipervnculo"/>
            <w:rFonts w:ascii="Tahoma" w:hAnsi="Tahoma" w:cs="Tahoma"/>
            <w:sz w:val="22"/>
            <w:szCs w:val="22"/>
          </w:rPr>
          <w:t>CCOO</w:t>
        </w:r>
      </w:hyperlink>
      <w:r w:rsidRPr="00AF79D5">
        <w:rPr>
          <w:rFonts w:ascii="Tahoma" w:hAnsi="Tahoma" w:cs="Tahoma"/>
          <w:color w:val="4472C4" w:themeColor="accent5"/>
          <w:sz w:val="22"/>
          <w:szCs w:val="22"/>
        </w:rPr>
        <w:t xml:space="preserve">, </w:t>
      </w:r>
      <w:hyperlink r:id="rId11" w:history="1">
        <w:r w:rsidRPr="00AF79D5">
          <w:rPr>
            <w:rStyle w:val="Hipervnculo"/>
            <w:rFonts w:ascii="Tahoma" w:hAnsi="Tahoma" w:cs="Tahoma"/>
            <w:sz w:val="22"/>
            <w:szCs w:val="22"/>
          </w:rPr>
          <w:t>UGT</w:t>
        </w:r>
      </w:hyperlink>
      <w:r w:rsidRPr="00AF79D5">
        <w:rPr>
          <w:rStyle w:val="Hipervnculo"/>
          <w:sz w:val="22"/>
          <w:szCs w:val="22"/>
        </w:rPr>
        <w:t xml:space="preserve"> </w:t>
      </w:r>
      <w:r w:rsidRPr="00AF79D5">
        <w:rPr>
          <w:rFonts w:ascii="Tahoma" w:hAnsi="Tahoma" w:cs="Tahoma"/>
          <w:sz w:val="22"/>
          <w:szCs w:val="22"/>
        </w:rPr>
        <w:t>y</w:t>
      </w:r>
      <w:r w:rsidRPr="00AF79D5">
        <w:rPr>
          <w:rFonts w:ascii="Tahoma" w:hAnsi="Tahoma" w:cs="Tahoma"/>
          <w:color w:val="4472C4" w:themeColor="accent5"/>
          <w:sz w:val="22"/>
          <w:szCs w:val="22"/>
        </w:rPr>
        <w:t xml:space="preserve"> </w:t>
      </w:r>
      <w:hyperlink r:id="rId12" w:history="1">
        <w:r w:rsidRPr="00AF79D5">
          <w:rPr>
            <w:rStyle w:val="Hipervnculo"/>
            <w:rFonts w:ascii="Tahoma" w:hAnsi="Tahoma" w:cs="Tahoma"/>
            <w:sz w:val="22"/>
            <w:szCs w:val="22"/>
          </w:rPr>
          <w:t>FEDA</w:t>
        </w:r>
      </w:hyperlink>
      <w:r w:rsidRPr="00AF79D5">
        <w:rPr>
          <w:rStyle w:val="Hipervnculo"/>
          <w:sz w:val="22"/>
          <w:szCs w:val="22"/>
        </w:rPr>
        <w:t xml:space="preserve"> </w:t>
      </w:r>
      <w:r w:rsidRPr="00AF79D5">
        <w:rPr>
          <w:rFonts w:ascii="Tahoma" w:hAnsi="Tahoma" w:cs="Tahoma"/>
          <w:sz w:val="22"/>
          <w:szCs w:val="22"/>
        </w:rPr>
        <w:t xml:space="preserve">con carácter de permanencia y con el apoyo institucional de la </w:t>
      </w:r>
      <w:hyperlink r:id="rId13" w:history="1">
        <w:r w:rsidRPr="00AF79D5">
          <w:rPr>
            <w:rStyle w:val="Hipervnculo"/>
            <w:rFonts w:ascii="Tahoma" w:hAnsi="Tahoma" w:cs="Tahoma"/>
            <w:sz w:val="22"/>
            <w:szCs w:val="22"/>
          </w:rPr>
          <w:t>Junta de Comunidades de Castilla-La Mancha</w:t>
        </w:r>
      </w:hyperlink>
      <w:r w:rsidRPr="00AF79D5">
        <w:rPr>
          <w:rStyle w:val="Hipervnculo"/>
          <w:sz w:val="22"/>
          <w:szCs w:val="22"/>
        </w:rPr>
        <w:t>,</w:t>
      </w:r>
      <w:r w:rsidRPr="00AF79D5">
        <w:rPr>
          <w:rFonts w:ascii="Tahoma" w:hAnsi="Tahoma" w:cs="Tahoma"/>
          <w:color w:val="4472C4" w:themeColor="accent5"/>
          <w:sz w:val="22"/>
          <w:szCs w:val="22"/>
        </w:rPr>
        <w:t xml:space="preserve"> </w:t>
      </w:r>
      <w:hyperlink r:id="rId14" w:history="1">
        <w:r w:rsidRPr="00AF79D5">
          <w:rPr>
            <w:rStyle w:val="Hipervnculo"/>
            <w:rFonts w:ascii="Tahoma" w:hAnsi="Tahoma" w:cs="Tahoma"/>
            <w:sz w:val="22"/>
            <w:szCs w:val="22"/>
          </w:rPr>
          <w:t>Diputación Provincial</w:t>
        </w:r>
      </w:hyperlink>
      <w:r w:rsidRPr="00AF79D5">
        <w:rPr>
          <w:rStyle w:val="Hipervnculo"/>
          <w:sz w:val="22"/>
          <w:szCs w:val="22"/>
        </w:rPr>
        <w:t xml:space="preserve"> </w:t>
      </w:r>
      <w:r w:rsidRPr="00AF79D5">
        <w:rPr>
          <w:rFonts w:ascii="Tahoma" w:hAnsi="Tahoma" w:cs="Tahoma"/>
          <w:sz w:val="22"/>
          <w:szCs w:val="22"/>
        </w:rPr>
        <w:t>y el</w:t>
      </w:r>
      <w:r w:rsidRPr="00AF79D5">
        <w:rPr>
          <w:rFonts w:ascii="Tahoma" w:hAnsi="Tahoma" w:cs="Tahoma"/>
          <w:color w:val="4472C4" w:themeColor="accent5"/>
          <w:sz w:val="22"/>
          <w:szCs w:val="22"/>
        </w:rPr>
        <w:t xml:space="preserve"> </w:t>
      </w:r>
      <w:hyperlink r:id="rId15" w:history="1">
        <w:r w:rsidRPr="00AF79D5">
          <w:rPr>
            <w:rStyle w:val="Hipervnculo"/>
            <w:rFonts w:ascii="Tahoma" w:hAnsi="Tahoma" w:cs="Tahoma"/>
            <w:sz w:val="22"/>
            <w:szCs w:val="22"/>
          </w:rPr>
          <w:t>Ayuntamiento de Albacete</w:t>
        </w:r>
      </w:hyperlink>
      <w:r w:rsidRPr="00AF79D5">
        <w:rPr>
          <w:rFonts w:ascii="Tahoma" w:hAnsi="Tahoma" w:cs="Tahoma"/>
          <w:color w:val="4472C4" w:themeColor="accent5"/>
          <w:sz w:val="22"/>
          <w:szCs w:val="22"/>
        </w:rPr>
        <w:t xml:space="preserve"> </w:t>
      </w:r>
      <w:r w:rsidRPr="00AF79D5">
        <w:rPr>
          <w:rFonts w:ascii="Tahoma" w:hAnsi="Tahoma" w:cs="Tahoma"/>
          <w:sz w:val="22"/>
          <w:szCs w:val="22"/>
        </w:rPr>
        <w:t xml:space="preserve">desde sus respectivas </w:t>
      </w:r>
      <w:hyperlink r:id="rId16" w:history="1">
        <w:r w:rsidRPr="00AF79D5">
          <w:rPr>
            <w:rStyle w:val="Hipervnculo"/>
            <w:rFonts w:ascii="Tahoma" w:hAnsi="Tahoma" w:cs="Tahoma"/>
            <w:sz w:val="22"/>
            <w:szCs w:val="22"/>
          </w:rPr>
          <w:t>áreas de igualdad</w:t>
        </w:r>
      </w:hyperlink>
      <w:r w:rsidRPr="00AF79D5">
        <w:rPr>
          <w:rStyle w:val="Hipervnculo"/>
          <w:rFonts w:ascii="Tahoma" w:hAnsi="Tahoma" w:cs="Tahoma"/>
          <w:sz w:val="22"/>
          <w:szCs w:val="22"/>
        </w:rPr>
        <w:t>,</w:t>
      </w:r>
      <w:r w:rsidRPr="00AF79D5">
        <w:rPr>
          <w:rFonts w:ascii="Tahoma" w:hAnsi="Tahoma" w:cs="Tahoma"/>
          <w:sz w:val="22"/>
          <w:szCs w:val="22"/>
        </w:rPr>
        <w:t xml:space="preserve"> sumando con sus </w:t>
      </w:r>
      <w:hyperlink r:id="rId17" w:history="1">
        <w:r w:rsidRPr="00AF79D5">
          <w:rPr>
            <w:rStyle w:val="Hipervnculo"/>
            <w:rFonts w:ascii="Tahoma" w:hAnsi="Tahoma" w:cs="Tahoma"/>
            <w:sz w:val="22"/>
            <w:szCs w:val="22"/>
          </w:rPr>
          <w:t>entidades adheridas</w:t>
        </w:r>
      </w:hyperlink>
      <w:r w:rsidRPr="00AF79D5">
        <w:rPr>
          <w:rStyle w:val="Hipervnculo"/>
          <w:sz w:val="22"/>
          <w:szCs w:val="22"/>
        </w:rPr>
        <w:t xml:space="preserve">, </w:t>
      </w:r>
      <w:r w:rsidRPr="00AF79D5">
        <w:rPr>
          <w:rFonts w:ascii="Tahoma" w:hAnsi="Tahoma" w:cs="Tahoma"/>
          <w:sz w:val="22"/>
          <w:szCs w:val="22"/>
        </w:rPr>
        <w:t>hasta el momento</w:t>
      </w:r>
      <w:r w:rsidRPr="00AF79D5">
        <w:rPr>
          <w:rFonts w:ascii="Tahoma" w:hAnsi="Tahoma" w:cs="Tahoma"/>
          <w:color w:val="002060"/>
          <w:sz w:val="22"/>
          <w:szCs w:val="22"/>
        </w:rPr>
        <w:t xml:space="preserve">, </w:t>
      </w:r>
      <w:hyperlink r:id="rId18" w:history="1">
        <w:r w:rsidRPr="00AF79D5">
          <w:rPr>
            <w:rStyle w:val="Hipervnculo"/>
            <w:rFonts w:ascii="Tahoma" w:hAnsi="Tahoma" w:cs="Tahoma"/>
            <w:sz w:val="22"/>
            <w:szCs w:val="22"/>
          </w:rPr>
          <w:t>Instituto de La Mujer de Castilla-La Mancha</w:t>
        </w:r>
      </w:hyperlink>
      <w:r w:rsidRPr="00AF79D5">
        <w:rPr>
          <w:rStyle w:val="Hipervnculo"/>
          <w:sz w:val="22"/>
          <w:szCs w:val="22"/>
        </w:rPr>
        <w:t xml:space="preserve"> </w:t>
      </w:r>
      <w:r w:rsidRPr="00AF79D5">
        <w:rPr>
          <w:rFonts w:ascii="Tahoma" w:hAnsi="Tahoma" w:cs="Tahoma"/>
          <w:sz w:val="22"/>
          <w:szCs w:val="22"/>
        </w:rPr>
        <w:t xml:space="preserve">y el </w:t>
      </w:r>
      <w:hyperlink r:id="rId19" w:history="1">
        <w:r w:rsidRPr="00AF79D5">
          <w:rPr>
            <w:rStyle w:val="Hipervnculo"/>
            <w:rFonts w:ascii="Tahoma" w:hAnsi="Tahoma" w:cs="Tahoma"/>
            <w:sz w:val="22"/>
            <w:szCs w:val="22"/>
          </w:rPr>
          <w:t>Ayuntamiento de Hellín</w:t>
        </w:r>
      </w:hyperlink>
      <w:r w:rsidRPr="00AF79D5">
        <w:rPr>
          <w:rStyle w:val="Hipervnculo"/>
          <w:sz w:val="22"/>
          <w:szCs w:val="22"/>
        </w:rPr>
        <w:t xml:space="preserve">. </w:t>
      </w:r>
    </w:p>
    <w:p w14:paraId="372A0B19" w14:textId="77777777" w:rsidR="00AF79D5" w:rsidRDefault="00AF79D5" w:rsidP="00AF79D5">
      <w:pPr>
        <w:rPr>
          <w:rStyle w:val="Hipervnculo"/>
          <w:sz w:val="22"/>
          <w:szCs w:val="22"/>
        </w:rPr>
      </w:pPr>
    </w:p>
    <w:p w14:paraId="72C9EE5B" w14:textId="1672B29A" w:rsidR="00AF79D5" w:rsidRPr="00AF79D5" w:rsidRDefault="00AF79D5" w:rsidP="00AF79D5">
      <w:pPr>
        <w:rPr>
          <w:rStyle w:val="Hipervnculo"/>
          <w:rFonts w:ascii="Tahoma" w:hAnsi="Tahoma" w:cs="Tahoma"/>
          <w:color w:val="auto"/>
          <w:sz w:val="22"/>
          <w:szCs w:val="22"/>
          <w:u w:val="none"/>
        </w:rPr>
      </w:pPr>
      <w:r>
        <w:rPr>
          <w:rStyle w:val="Hipervnculo"/>
          <w:rFonts w:ascii="Tahoma" w:hAnsi="Tahoma" w:cs="Tahoma"/>
          <w:color w:val="auto"/>
          <w:sz w:val="22"/>
          <w:szCs w:val="22"/>
          <w:u w:val="none"/>
        </w:rPr>
        <w:t xml:space="preserve">Asimismo, el presidente de FEDA ha destacado el OPI, que nació hace cuatro años, como caso de éxito, que incluso quiere replicar el Gobierno regional para el conjunto de la Comunidad Autónoma. “Es un reto compartido, en el que gracias al equipo de técnicas y técnicos de instituciones y agentes sociales se llega a acuerdos”. Ha pedido </w:t>
      </w:r>
      <w:r w:rsidRPr="00AF79D5">
        <w:rPr>
          <w:rStyle w:val="Hipervnculo"/>
          <w:rFonts w:ascii="Tahoma" w:hAnsi="Tahoma" w:cs="Tahoma"/>
          <w:b/>
          <w:bCs/>
          <w:color w:val="auto"/>
          <w:sz w:val="22"/>
          <w:szCs w:val="22"/>
          <w:u w:val="none"/>
        </w:rPr>
        <w:t>continuidad</w:t>
      </w:r>
      <w:r>
        <w:rPr>
          <w:rStyle w:val="Hipervnculo"/>
          <w:rFonts w:ascii="Tahoma" w:hAnsi="Tahoma" w:cs="Tahoma"/>
          <w:color w:val="auto"/>
          <w:sz w:val="22"/>
          <w:szCs w:val="22"/>
          <w:u w:val="none"/>
        </w:rPr>
        <w:t xml:space="preserve"> en este proyecto, para seguir realizando la radiografía de la provincia de Albacete en materia de igualdad de oportunidades entre mujeres y hombres, así como detectar oportunidades de mejora y actuaciones a realizar y llevarlas a cabo; y </w:t>
      </w:r>
      <w:r w:rsidRPr="00AF79D5">
        <w:rPr>
          <w:rStyle w:val="Hipervnculo"/>
          <w:rFonts w:ascii="Tahoma" w:hAnsi="Tahoma" w:cs="Tahoma"/>
          <w:b/>
          <w:bCs/>
          <w:color w:val="auto"/>
          <w:sz w:val="22"/>
          <w:szCs w:val="22"/>
          <w:u w:val="none"/>
        </w:rPr>
        <w:t>rigor</w:t>
      </w:r>
      <w:r>
        <w:rPr>
          <w:rStyle w:val="Hipervnculo"/>
          <w:rFonts w:ascii="Tahoma" w:hAnsi="Tahoma" w:cs="Tahoma"/>
          <w:color w:val="auto"/>
          <w:sz w:val="22"/>
          <w:szCs w:val="22"/>
          <w:u w:val="none"/>
        </w:rPr>
        <w:t xml:space="preserve"> para seguir trabajando de manera coordinada con la dirección de las empresas y sus plantillas para analizar la evolución de la igualdad en la provincia de Albacete, “porque lo que no se mide – ha apuntado- no se mejora”.</w:t>
      </w:r>
    </w:p>
    <w:p w14:paraId="1C1F552E" w14:textId="77777777" w:rsidR="00AF79D5" w:rsidRPr="00AF79D5" w:rsidRDefault="00AF79D5" w:rsidP="007177B1">
      <w:pPr>
        <w:pStyle w:val="Textoindependiente"/>
        <w:jc w:val="both"/>
        <w:rPr>
          <w:rFonts w:ascii="Tahoma" w:hAnsi="Tahoma" w:cs="Tahoma"/>
          <w:b w:val="0"/>
          <w:bCs/>
          <w:sz w:val="22"/>
          <w:szCs w:val="22"/>
        </w:rPr>
      </w:pPr>
    </w:p>
    <w:p w14:paraId="2A7C3D42" w14:textId="2C2DD3C3" w:rsidR="007177B1" w:rsidRDefault="00AF79D5" w:rsidP="007177B1">
      <w:pPr>
        <w:pStyle w:val="Textoindependiente"/>
        <w:jc w:val="both"/>
        <w:rPr>
          <w:rFonts w:ascii="Tahoma" w:hAnsi="Tahoma" w:cs="Tahoma"/>
          <w:b w:val="0"/>
          <w:bCs/>
          <w:sz w:val="22"/>
          <w:szCs w:val="22"/>
        </w:rPr>
      </w:pPr>
      <w:r>
        <w:rPr>
          <w:rFonts w:ascii="Tahoma" w:hAnsi="Tahoma" w:cs="Tahoma"/>
          <w:b w:val="0"/>
          <w:bCs/>
          <w:sz w:val="22"/>
          <w:szCs w:val="22"/>
        </w:rPr>
        <w:t>Para terminar, Artemio Pérez Alfaro, ha apuntado que han sido, en el ejercicio 2023, 66 empresas (10 más que el año anterior) y 888 personas trabajadoras (350 más que en el año anterior) las que han apostado</w:t>
      </w:r>
      <w:r w:rsidR="00B50C2A">
        <w:rPr>
          <w:rFonts w:ascii="Tahoma" w:hAnsi="Tahoma" w:cs="Tahoma"/>
          <w:b w:val="0"/>
          <w:bCs/>
          <w:sz w:val="22"/>
          <w:szCs w:val="22"/>
        </w:rPr>
        <w:t xml:space="preserve"> por hablar de igualdad, respondiendo a una encuesta de diagnóstico de forma transparente y voluntaria.</w:t>
      </w:r>
    </w:p>
    <w:p w14:paraId="4731E85F" w14:textId="77777777" w:rsidR="00B50C2A" w:rsidRDefault="00B50C2A" w:rsidP="007177B1">
      <w:pPr>
        <w:pStyle w:val="Textoindependiente"/>
        <w:jc w:val="both"/>
        <w:rPr>
          <w:rFonts w:ascii="Tahoma" w:hAnsi="Tahoma" w:cs="Tahoma"/>
          <w:b w:val="0"/>
          <w:bCs/>
          <w:sz w:val="22"/>
          <w:szCs w:val="22"/>
        </w:rPr>
      </w:pPr>
    </w:p>
    <w:p w14:paraId="4EF19CC6" w14:textId="77777777" w:rsidR="00B50C2A" w:rsidRDefault="00B50C2A" w:rsidP="007177B1">
      <w:pPr>
        <w:pStyle w:val="Textoindependiente"/>
        <w:jc w:val="both"/>
        <w:rPr>
          <w:rFonts w:ascii="Tahoma" w:hAnsi="Tahoma" w:cs="Tahoma"/>
          <w:b w:val="0"/>
          <w:bCs/>
          <w:sz w:val="22"/>
          <w:szCs w:val="22"/>
        </w:rPr>
      </w:pPr>
    </w:p>
    <w:p w14:paraId="485A154E" w14:textId="77777777" w:rsidR="000206D6" w:rsidRDefault="000206D6" w:rsidP="007177B1">
      <w:pPr>
        <w:pStyle w:val="Textoindependiente"/>
        <w:jc w:val="both"/>
        <w:rPr>
          <w:rFonts w:ascii="Tahoma" w:hAnsi="Tahoma" w:cs="Tahoma"/>
          <w:sz w:val="22"/>
          <w:szCs w:val="22"/>
        </w:rPr>
      </w:pPr>
    </w:p>
    <w:p w14:paraId="12E32CF4" w14:textId="77777777" w:rsidR="000206D6" w:rsidRDefault="000206D6" w:rsidP="007177B1">
      <w:pPr>
        <w:pStyle w:val="Textoindependiente"/>
        <w:jc w:val="both"/>
        <w:rPr>
          <w:rFonts w:ascii="Tahoma" w:hAnsi="Tahoma" w:cs="Tahoma"/>
          <w:sz w:val="22"/>
          <w:szCs w:val="22"/>
        </w:rPr>
      </w:pPr>
    </w:p>
    <w:p w14:paraId="3A979DE9" w14:textId="42F02C60" w:rsidR="00B50C2A" w:rsidRPr="000206D6" w:rsidRDefault="000206D6" w:rsidP="007177B1">
      <w:pPr>
        <w:pStyle w:val="Textoindependiente"/>
        <w:jc w:val="both"/>
        <w:rPr>
          <w:rFonts w:ascii="Tahoma" w:hAnsi="Tahoma" w:cs="Tahoma"/>
          <w:sz w:val="22"/>
          <w:szCs w:val="22"/>
        </w:rPr>
      </w:pPr>
      <w:r w:rsidRPr="000206D6">
        <w:rPr>
          <w:rFonts w:ascii="Tahoma" w:hAnsi="Tahoma" w:cs="Tahoma"/>
          <w:sz w:val="22"/>
          <w:szCs w:val="22"/>
        </w:rPr>
        <w:t>Diálogo social</w:t>
      </w:r>
    </w:p>
    <w:p w14:paraId="7D6B629C" w14:textId="77777777" w:rsidR="000206D6" w:rsidRDefault="000206D6" w:rsidP="007177B1">
      <w:pPr>
        <w:pStyle w:val="Textoindependiente"/>
        <w:jc w:val="both"/>
        <w:rPr>
          <w:rFonts w:ascii="Tahoma" w:hAnsi="Tahoma" w:cs="Tahoma"/>
          <w:b w:val="0"/>
          <w:bCs/>
          <w:sz w:val="22"/>
          <w:szCs w:val="22"/>
        </w:rPr>
      </w:pPr>
    </w:p>
    <w:p w14:paraId="4A78B2C2" w14:textId="5D50069F" w:rsidR="00B50C2A" w:rsidRDefault="00B50C2A" w:rsidP="000206D6">
      <w:pPr>
        <w:spacing w:after="160"/>
        <w:contextualSpacing/>
        <w:rPr>
          <w:rFonts w:ascii="Tahoma" w:eastAsiaTheme="minorHAnsi" w:hAnsi="Tahoma" w:cs="Tahoma"/>
          <w:bCs/>
          <w:sz w:val="22"/>
          <w:szCs w:val="22"/>
          <w:lang w:val="es-ES" w:eastAsia="en-US"/>
        </w:rPr>
      </w:pPr>
      <w:r>
        <w:rPr>
          <w:rFonts w:ascii="Tahoma" w:eastAsiaTheme="minorHAnsi" w:hAnsi="Tahoma" w:cs="Tahoma"/>
          <w:bCs/>
          <w:sz w:val="22"/>
          <w:szCs w:val="22"/>
          <w:lang w:val="es-ES" w:eastAsia="en-US"/>
        </w:rPr>
        <w:t>“</w:t>
      </w:r>
      <w:r w:rsidRPr="00B50C2A">
        <w:rPr>
          <w:rFonts w:ascii="Tahoma" w:eastAsiaTheme="minorHAnsi" w:hAnsi="Tahoma" w:cs="Tahoma"/>
          <w:bCs/>
          <w:sz w:val="22"/>
          <w:szCs w:val="22"/>
          <w:lang w:val="es-ES" w:eastAsia="en-US"/>
        </w:rPr>
        <w:t>Desde FEDA, nos reiteramos en la suerte de diálogo social que tenemos en la provincia de Albacete y que nos permite a los agentes sociales sentarnos en la misma mesa, muchas veces con perspectivas distintas, pero siempre con el ánimo de dialogar y enfocarnos en aquello que puede ayudar a nuestra sociedad, nuestras localidades, sus trabajadoras y trabajadores, y al tejido empresarial y productivo</w:t>
      </w:r>
      <w:r>
        <w:rPr>
          <w:rFonts w:ascii="Tahoma" w:eastAsiaTheme="minorHAnsi" w:hAnsi="Tahoma" w:cs="Tahoma"/>
          <w:bCs/>
          <w:sz w:val="22"/>
          <w:szCs w:val="22"/>
          <w:lang w:val="es-ES" w:eastAsia="en-US"/>
        </w:rPr>
        <w:t>”, ha recalcado.</w:t>
      </w:r>
    </w:p>
    <w:p w14:paraId="3C8CA76D" w14:textId="77777777" w:rsidR="00B50C2A" w:rsidRDefault="00B50C2A" w:rsidP="00B50C2A">
      <w:pPr>
        <w:spacing w:after="160" w:line="259" w:lineRule="auto"/>
        <w:contextualSpacing/>
        <w:rPr>
          <w:rFonts w:ascii="Tahoma" w:eastAsiaTheme="minorHAnsi" w:hAnsi="Tahoma" w:cs="Tahoma"/>
          <w:bCs/>
          <w:sz w:val="22"/>
          <w:szCs w:val="22"/>
          <w:lang w:val="es-ES" w:eastAsia="en-US"/>
        </w:rPr>
      </w:pPr>
    </w:p>
    <w:p w14:paraId="44300192" w14:textId="77777777" w:rsidR="00B50C2A" w:rsidRPr="00B50C2A" w:rsidRDefault="00B50C2A" w:rsidP="00B50C2A">
      <w:pPr>
        <w:spacing w:after="160" w:line="259" w:lineRule="auto"/>
        <w:rPr>
          <w:rFonts w:ascii="Tahoma" w:eastAsiaTheme="minorHAnsi" w:hAnsi="Tahoma" w:cs="Tahoma"/>
          <w:sz w:val="22"/>
          <w:szCs w:val="22"/>
          <w:lang w:val="es-ES" w:eastAsia="en-US"/>
        </w:rPr>
      </w:pPr>
      <w:r w:rsidRPr="00B50C2A">
        <w:rPr>
          <w:rFonts w:ascii="Tahoma" w:eastAsiaTheme="minorHAnsi" w:hAnsi="Tahoma" w:cs="Tahoma"/>
          <w:sz w:val="22"/>
          <w:szCs w:val="22"/>
          <w:lang w:val="es-ES" w:eastAsia="en-US"/>
        </w:rPr>
        <w:t xml:space="preserve">La metodología del OPI, dentro de un escenario complejo, donde solemos tener poco tiempo para responder a nada con nuestros ritmos frenéticos de vida, ha logrado consolidarse: </w:t>
      </w:r>
    </w:p>
    <w:p w14:paraId="00B917CF" w14:textId="0FC0796D" w:rsidR="00B50C2A" w:rsidRPr="00B50C2A" w:rsidRDefault="00B50C2A" w:rsidP="00B50C2A">
      <w:pPr>
        <w:pStyle w:val="Prrafodelista"/>
        <w:numPr>
          <w:ilvl w:val="0"/>
          <w:numId w:val="39"/>
        </w:numPr>
        <w:spacing w:after="160" w:line="259" w:lineRule="auto"/>
        <w:contextualSpacing/>
        <w:jc w:val="both"/>
        <w:rPr>
          <w:rFonts w:ascii="Tahoma" w:eastAsiaTheme="minorHAnsi" w:hAnsi="Tahoma" w:cs="Tahoma"/>
        </w:rPr>
      </w:pPr>
      <w:r w:rsidRPr="00B50C2A">
        <w:rPr>
          <w:rFonts w:ascii="Tahoma" w:eastAsiaTheme="minorHAnsi" w:hAnsi="Tahoma" w:cs="Tahoma"/>
        </w:rPr>
        <w:t>Se validan</w:t>
      </w:r>
      <w:r w:rsidRPr="00B50C2A">
        <w:rPr>
          <w:rFonts w:ascii="Tahoma" w:eastAsiaTheme="minorHAnsi" w:hAnsi="Tahoma" w:cs="Tahoma"/>
        </w:rPr>
        <w:t xml:space="preserve"> cuestionarios de análisis con variables acordadas por el OPI.  </w:t>
      </w:r>
    </w:p>
    <w:p w14:paraId="57D3048A" w14:textId="3C56714F" w:rsidR="00B50C2A" w:rsidRPr="00B50C2A" w:rsidRDefault="00B50C2A" w:rsidP="00B50C2A">
      <w:pPr>
        <w:pStyle w:val="Prrafodelista"/>
        <w:numPr>
          <w:ilvl w:val="0"/>
          <w:numId w:val="39"/>
        </w:numPr>
        <w:spacing w:after="160" w:line="259" w:lineRule="auto"/>
        <w:contextualSpacing/>
        <w:jc w:val="both"/>
        <w:rPr>
          <w:rFonts w:ascii="Tahoma" w:eastAsiaTheme="minorHAnsi" w:hAnsi="Tahoma" w:cs="Tahoma"/>
        </w:rPr>
      </w:pPr>
      <w:r w:rsidRPr="00B50C2A">
        <w:rPr>
          <w:rFonts w:ascii="Tahoma" w:eastAsiaTheme="minorHAnsi" w:hAnsi="Tahoma" w:cs="Tahoma"/>
        </w:rPr>
        <w:t>Participan tanto la dirección de las empresas como las plantillas.</w:t>
      </w:r>
    </w:p>
    <w:p w14:paraId="2FC3493C" w14:textId="487BC426" w:rsidR="00B50C2A" w:rsidRPr="00B50C2A" w:rsidRDefault="00B50C2A" w:rsidP="00B50C2A">
      <w:pPr>
        <w:pStyle w:val="Prrafodelista"/>
        <w:numPr>
          <w:ilvl w:val="0"/>
          <w:numId w:val="39"/>
        </w:numPr>
        <w:spacing w:after="160" w:line="259" w:lineRule="auto"/>
        <w:contextualSpacing/>
        <w:jc w:val="both"/>
        <w:rPr>
          <w:rFonts w:ascii="Tahoma" w:eastAsiaTheme="minorHAnsi" w:hAnsi="Tahoma" w:cs="Tahoma"/>
        </w:rPr>
      </w:pPr>
      <w:r w:rsidRPr="00B50C2A">
        <w:rPr>
          <w:rFonts w:ascii="Tahoma" w:eastAsiaTheme="minorHAnsi" w:hAnsi="Tahoma" w:cs="Tahoma"/>
        </w:rPr>
        <w:t xml:space="preserve"> </w:t>
      </w:r>
      <w:r w:rsidRPr="00B50C2A">
        <w:rPr>
          <w:rFonts w:ascii="Tahoma" w:eastAsiaTheme="minorHAnsi" w:hAnsi="Tahoma" w:cs="Tahoma"/>
        </w:rPr>
        <w:t>Se certifica</w:t>
      </w:r>
      <w:r w:rsidRPr="00B50C2A">
        <w:rPr>
          <w:rFonts w:ascii="Tahoma" w:eastAsiaTheme="minorHAnsi" w:hAnsi="Tahoma" w:cs="Tahoma"/>
        </w:rPr>
        <w:t xml:space="preserve"> telemáticamente con unos criterios claros a las empresas y sus equipos. No tan solo por participar en los cuestionario</w:t>
      </w:r>
      <w:r w:rsidRPr="00B50C2A">
        <w:rPr>
          <w:rFonts w:ascii="Tahoma" w:eastAsiaTheme="minorHAnsi" w:hAnsi="Tahoma" w:cs="Tahoma"/>
        </w:rPr>
        <w:t>s</w:t>
      </w:r>
      <w:r w:rsidRPr="00B50C2A">
        <w:rPr>
          <w:rFonts w:ascii="Tahoma" w:eastAsiaTheme="minorHAnsi" w:hAnsi="Tahoma" w:cs="Tahoma"/>
        </w:rPr>
        <w:t xml:space="preserve"> de diagnóstico sino por cumplir con la normativa en materia de igualdad (protocolos de acoso, registro salarial, planes de igualdad) y no tener sanciones ni denuncias en la materia etc.</w:t>
      </w:r>
    </w:p>
    <w:p w14:paraId="71DD52AB" w14:textId="3960BC4A" w:rsidR="00B50C2A" w:rsidRPr="00B50C2A" w:rsidRDefault="00B50C2A" w:rsidP="00B50C2A">
      <w:pPr>
        <w:pStyle w:val="Prrafodelista"/>
        <w:numPr>
          <w:ilvl w:val="0"/>
          <w:numId w:val="39"/>
        </w:numPr>
        <w:spacing w:after="160" w:line="259" w:lineRule="auto"/>
        <w:contextualSpacing/>
        <w:jc w:val="both"/>
        <w:rPr>
          <w:rFonts w:ascii="Tahoma" w:eastAsiaTheme="minorHAnsi" w:hAnsi="Tahoma" w:cs="Tahoma"/>
        </w:rPr>
      </w:pPr>
      <w:r w:rsidRPr="00B50C2A">
        <w:rPr>
          <w:rFonts w:ascii="Tahoma" w:eastAsiaTheme="minorHAnsi" w:hAnsi="Tahoma" w:cs="Tahoma"/>
        </w:rPr>
        <w:t>Se otorga</w:t>
      </w:r>
      <w:r w:rsidRPr="00B50C2A">
        <w:rPr>
          <w:rFonts w:ascii="Tahoma" w:eastAsiaTheme="minorHAnsi" w:hAnsi="Tahoma" w:cs="Tahoma"/>
        </w:rPr>
        <w:t xml:space="preserve"> un único distintivo con un incentivo económico a aquella empresa que junto con su</w:t>
      </w:r>
      <w:r w:rsidRPr="00B50C2A">
        <w:rPr>
          <w:rFonts w:ascii="Tahoma" w:eastAsiaTheme="minorHAnsi" w:hAnsi="Tahoma" w:cs="Tahoma"/>
        </w:rPr>
        <w:t>s</w:t>
      </w:r>
      <w:r w:rsidRPr="00B50C2A">
        <w:rPr>
          <w:rFonts w:ascii="Tahoma" w:eastAsiaTheme="minorHAnsi" w:hAnsi="Tahoma" w:cs="Tahoma"/>
        </w:rPr>
        <w:t xml:space="preserve"> plantillas negocian y hacen seguimiento a sus planes de igualdad con su respectivo registro en el REGCON. </w:t>
      </w:r>
    </w:p>
    <w:p w14:paraId="52B95C16" w14:textId="7FCA6BE8" w:rsidR="00B50C2A" w:rsidRPr="00B50C2A" w:rsidRDefault="00B50C2A" w:rsidP="00B50C2A">
      <w:pPr>
        <w:pStyle w:val="Prrafodelista"/>
        <w:numPr>
          <w:ilvl w:val="0"/>
          <w:numId w:val="39"/>
        </w:numPr>
        <w:spacing w:after="160" w:line="259" w:lineRule="auto"/>
        <w:contextualSpacing/>
        <w:jc w:val="both"/>
        <w:rPr>
          <w:rFonts w:ascii="Tahoma" w:eastAsiaTheme="minorHAnsi" w:hAnsi="Tahoma" w:cs="Tahoma"/>
        </w:rPr>
      </w:pPr>
      <w:r w:rsidRPr="00B50C2A">
        <w:rPr>
          <w:rFonts w:ascii="Tahoma" w:eastAsiaTheme="minorHAnsi" w:hAnsi="Tahoma" w:cs="Tahoma"/>
        </w:rPr>
        <w:t>Se da</w:t>
      </w:r>
      <w:r w:rsidRPr="00B50C2A">
        <w:rPr>
          <w:rFonts w:ascii="Tahoma" w:eastAsiaTheme="minorHAnsi" w:hAnsi="Tahoma" w:cs="Tahoma"/>
        </w:rPr>
        <w:t xml:space="preserve"> una mención a un grupo de empresas y su representación de la plantilla por participar en un análisis sobre publicidad y comunicación inclusiva y no sexista, y acceso al empleo y segregación ocupacional. Agradecemos que abran sus puertas a los agentes sociales y que hoy estén aquí.  </w:t>
      </w:r>
    </w:p>
    <w:p w14:paraId="0D05BE35" w14:textId="38F8F577" w:rsidR="00B50C2A" w:rsidRDefault="00B50C2A" w:rsidP="00B50C2A">
      <w:pPr>
        <w:pStyle w:val="Prrafodelista"/>
        <w:numPr>
          <w:ilvl w:val="0"/>
          <w:numId w:val="39"/>
        </w:numPr>
        <w:spacing w:after="160" w:line="259" w:lineRule="auto"/>
        <w:contextualSpacing/>
        <w:jc w:val="both"/>
        <w:rPr>
          <w:rFonts w:ascii="Tahoma" w:eastAsiaTheme="minorHAnsi" w:hAnsi="Tahoma" w:cs="Tahoma"/>
        </w:rPr>
      </w:pPr>
      <w:r w:rsidRPr="00B50C2A">
        <w:rPr>
          <w:rFonts w:ascii="Tahoma" w:eastAsiaTheme="minorHAnsi" w:hAnsi="Tahoma" w:cs="Tahoma"/>
        </w:rPr>
        <w:t xml:space="preserve"> Y</w:t>
      </w:r>
      <w:r w:rsidRPr="00B50C2A">
        <w:rPr>
          <w:rFonts w:ascii="Tahoma" w:eastAsiaTheme="minorHAnsi" w:hAnsi="Tahoma" w:cs="Tahoma"/>
        </w:rPr>
        <w:t>,</w:t>
      </w:r>
      <w:r w:rsidRPr="00B50C2A">
        <w:rPr>
          <w:rFonts w:ascii="Tahoma" w:eastAsiaTheme="minorHAnsi" w:hAnsi="Tahoma" w:cs="Tahoma"/>
        </w:rPr>
        <w:t xml:space="preserve"> finalmente</w:t>
      </w:r>
      <w:r w:rsidRPr="00B50C2A">
        <w:rPr>
          <w:rFonts w:ascii="Tahoma" w:eastAsiaTheme="minorHAnsi" w:hAnsi="Tahoma" w:cs="Tahoma"/>
        </w:rPr>
        <w:t>,</w:t>
      </w:r>
      <w:r w:rsidRPr="00B50C2A">
        <w:rPr>
          <w:rFonts w:ascii="Tahoma" w:eastAsiaTheme="minorHAnsi" w:hAnsi="Tahoma" w:cs="Tahoma"/>
        </w:rPr>
        <w:t xml:space="preserve"> </w:t>
      </w:r>
      <w:r w:rsidRPr="00B50C2A">
        <w:rPr>
          <w:rFonts w:ascii="Tahoma" w:eastAsiaTheme="minorHAnsi" w:hAnsi="Tahoma" w:cs="Tahoma"/>
        </w:rPr>
        <w:t xml:space="preserve">es un trabajo constante de </w:t>
      </w:r>
      <w:r w:rsidRPr="00B50C2A">
        <w:rPr>
          <w:rFonts w:ascii="Tahoma" w:eastAsiaTheme="minorHAnsi" w:hAnsi="Tahoma" w:cs="Tahoma"/>
        </w:rPr>
        <w:t xml:space="preserve">sensibilizar y educar en materia de igualdad. </w:t>
      </w:r>
    </w:p>
    <w:p w14:paraId="5E5E2F87" w14:textId="77777777" w:rsidR="00B50C2A" w:rsidRDefault="00B50C2A" w:rsidP="00B50C2A">
      <w:pPr>
        <w:spacing w:after="160" w:line="259" w:lineRule="auto"/>
        <w:contextualSpacing/>
        <w:rPr>
          <w:rFonts w:ascii="Tahoma" w:eastAsiaTheme="minorHAnsi" w:hAnsi="Tahoma" w:cs="Tahoma"/>
        </w:rPr>
      </w:pPr>
    </w:p>
    <w:p w14:paraId="798C785B" w14:textId="1B64873E" w:rsidR="00B50C2A" w:rsidRDefault="00B50C2A" w:rsidP="00B50C2A">
      <w:pPr>
        <w:spacing w:after="160" w:line="259" w:lineRule="auto"/>
        <w:contextualSpacing/>
        <w:rPr>
          <w:rFonts w:ascii="Tahoma" w:eastAsiaTheme="minorHAnsi" w:hAnsi="Tahoma" w:cs="Tahoma"/>
          <w:sz w:val="22"/>
          <w:szCs w:val="22"/>
        </w:rPr>
      </w:pPr>
      <w:hyperlink r:id="rId20" w:history="1">
        <w:r w:rsidRPr="00B50C2A">
          <w:rPr>
            <w:rStyle w:val="Hipervnculo"/>
            <w:rFonts w:ascii="Tahoma" w:eastAsiaTheme="minorHAnsi" w:hAnsi="Tahoma" w:cs="Tahoma"/>
            <w:sz w:val="22"/>
            <w:szCs w:val="22"/>
          </w:rPr>
          <w:t xml:space="preserve">Se ha entregado el distintivo a Eiffage Energía Sistemas, y las </w:t>
        </w:r>
        <w:r w:rsidRPr="00B50C2A">
          <w:rPr>
            <w:rStyle w:val="Hipervnculo"/>
            <w:rFonts w:ascii="Tahoma" w:hAnsi="Tahoma" w:cs="Tahoma"/>
            <w:sz w:val="22"/>
            <w:szCs w:val="22"/>
          </w:rPr>
          <w:t xml:space="preserve">empresas mencionadas ha sido </w:t>
        </w:r>
        <w:bookmarkStart w:id="0" w:name="_Hlk159580923"/>
        <w:r w:rsidRPr="00B50C2A">
          <w:rPr>
            <w:rStyle w:val="Hipervnculo"/>
            <w:rFonts w:ascii="Tahoma" w:hAnsi="Tahoma" w:cs="Tahoma"/>
            <w:sz w:val="22"/>
            <w:szCs w:val="22"/>
          </w:rPr>
          <w:t>Tecon Soluciones Informáticas, S.L, Parcisa, S.L.U – Parcitank, S.A. y Laboratorios Vinfer, S.A.</w:t>
        </w:r>
      </w:hyperlink>
    </w:p>
    <w:p w14:paraId="7FAB7869" w14:textId="77777777" w:rsidR="00B50C2A" w:rsidRDefault="00B50C2A" w:rsidP="00B50C2A">
      <w:pPr>
        <w:spacing w:after="160" w:line="259" w:lineRule="auto"/>
        <w:contextualSpacing/>
        <w:rPr>
          <w:rFonts w:ascii="Tahoma" w:eastAsiaTheme="minorHAnsi" w:hAnsi="Tahoma" w:cs="Tahoma"/>
          <w:sz w:val="22"/>
          <w:szCs w:val="22"/>
        </w:rPr>
      </w:pPr>
    </w:p>
    <w:p w14:paraId="088AAE33" w14:textId="520503E2" w:rsidR="00B50C2A" w:rsidRPr="00B50C2A" w:rsidRDefault="00B50C2A" w:rsidP="00B50C2A">
      <w:pPr>
        <w:spacing w:after="160" w:line="259" w:lineRule="auto"/>
        <w:contextualSpacing/>
        <w:rPr>
          <w:rFonts w:ascii="Tahoma" w:hAnsi="Tahoma" w:cs="Tahoma"/>
          <w:sz w:val="22"/>
          <w:szCs w:val="22"/>
        </w:rPr>
      </w:pPr>
      <w:r>
        <w:rPr>
          <w:rFonts w:ascii="Tahoma" w:eastAsiaTheme="minorHAnsi" w:hAnsi="Tahoma" w:cs="Tahoma"/>
          <w:sz w:val="22"/>
          <w:szCs w:val="22"/>
        </w:rPr>
        <w:t>Al terminar el acto, se ha guardado un minuto de silencia por las víctimas del incendio de Valencia.</w:t>
      </w:r>
    </w:p>
    <w:bookmarkEnd w:id="0"/>
    <w:p w14:paraId="503452AD" w14:textId="77777777" w:rsidR="00B50C2A" w:rsidRPr="00B50C2A" w:rsidRDefault="00B50C2A" w:rsidP="00B50C2A">
      <w:pPr>
        <w:spacing w:after="160" w:line="259" w:lineRule="auto"/>
        <w:contextualSpacing/>
        <w:rPr>
          <w:rFonts w:ascii="Tahoma" w:eastAsiaTheme="minorHAnsi" w:hAnsi="Tahoma" w:cs="Tahoma"/>
        </w:rPr>
      </w:pPr>
    </w:p>
    <w:p w14:paraId="4499CA4A" w14:textId="77777777" w:rsidR="00B50C2A" w:rsidRPr="00B50C2A" w:rsidRDefault="00B50C2A" w:rsidP="00B50C2A">
      <w:pPr>
        <w:spacing w:after="160" w:line="259" w:lineRule="auto"/>
        <w:contextualSpacing/>
        <w:rPr>
          <w:rFonts w:ascii="Tahoma" w:eastAsiaTheme="minorHAnsi" w:hAnsi="Tahoma" w:cs="Tahoma"/>
          <w:bCs/>
          <w:sz w:val="22"/>
          <w:szCs w:val="22"/>
          <w:lang w:val="es-ES" w:eastAsia="en-US"/>
        </w:rPr>
      </w:pPr>
    </w:p>
    <w:p w14:paraId="23ECB216" w14:textId="77777777" w:rsidR="00B50C2A" w:rsidRDefault="00B50C2A" w:rsidP="007177B1">
      <w:pPr>
        <w:pStyle w:val="Textoindependiente"/>
        <w:jc w:val="both"/>
        <w:rPr>
          <w:rFonts w:ascii="Tahoma" w:hAnsi="Tahoma" w:cs="Tahoma"/>
          <w:b w:val="0"/>
          <w:bCs/>
          <w:sz w:val="22"/>
          <w:szCs w:val="22"/>
        </w:rPr>
      </w:pPr>
    </w:p>
    <w:p w14:paraId="685425A4" w14:textId="77777777" w:rsidR="007177B1" w:rsidRDefault="007177B1" w:rsidP="007177B1">
      <w:pPr>
        <w:pStyle w:val="Textoindependiente"/>
        <w:jc w:val="both"/>
        <w:rPr>
          <w:rFonts w:ascii="Tahoma" w:hAnsi="Tahoma" w:cs="Tahoma"/>
          <w:b w:val="0"/>
          <w:bCs/>
          <w:sz w:val="22"/>
          <w:szCs w:val="22"/>
        </w:rPr>
      </w:pPr>
    </w:p>
    <w:p w14:paraId="3ED59049" w14:textId="77777777" w:rsidR="00FD6B65" w:rsidRDefault="00FD6B65" w:rsidP="00012CB7">
      <w:pPr>
        <w:pStyle w:val="Textoindependiente"/>
        <w:jc w:val="right"/>
        <w:rPr>
          <w:rFonts w:ascii="Tahoma" w:hAnsi="Tahoma" w:cs="Tahoma"/>
          <w:b w:val="0"/>
          <w:bCs/>
          <w:sz w:val="22"/>
          <w:szCs w:val="22"/>
        </w:rPr>
      </w:pPr>
    </w:p>
    <w:p w14:paraId="794899A8" w14:textId="77777777" w:rsidR="007440BB" w:rsidRDefault="007440BB" w:rsidP="00012CB7">
      <w:pPr>
        <w:pStyle w:val="Textoindependiente"/>
        <w:jc w:val="right"/>
        <w:rPr>
          <w:rFonts w:ascii="Tahoma" w:hAnsi="Tahoma" w:cs="Tahoma"/>
          <w:b w:val="0"/>
          <w:bCs/>
          <w:sz w:val="22"/>
          <w:szCs w:val="22"/>
        </w:rPr>
      </w:pPr>
    </w:p>
    <w:sectPr w:rsidR="007440BB" w:rsidSect="00702694">
      <w:headerReference w:type="default" r:id="rId21"/>
      <w:footerReference w:type="even" r:id="rId22"/>
      <w:footerReference w:type="default" r:id="rId23"/>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B522F1"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B522F1"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B522F1"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B522F1"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B522F1"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B522F1"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9825854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AB4530C"/>
    <w:multiLevelType w:val="hybridMultilevel"/>
    <w:tmpl w:val="7D0CD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71649B7"/>
    <w:multiLevelType w:val="hybridMultilevel"/>
    <w:tmpl w:val="DCD6BFCC"/>
    <w:lvl w:ilvl="0" w:tplc="7A2C8E0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73F0C9F"/>
    <w:multiLevelType w:val="hybridMultilevel"/>
    <w:tmpl w:val="DEB6AB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1F7806C9"/>
    <w:multiLevelType w:val="hybridMultilevel"/>
    <w:tmpl w:val="D9BEF1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20227E"/>
    <w:multiLevelType w:val="multilevel"/>
    <w:tmpl w:val="061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1672746"/>
    <w:multiLevelType w:val="hybridMultilevel"/>
    <w:tmpl w:val="D18C6B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71E68AE"/>
    <w:multiLevelType w:val="hybridMultilevel"/>
    <w:tmpl w:val="2C9832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A004B63"/>
    <w:multiLevelType w:val="hybridMultilevel"/>
    <w:tmpl w:val="BB4CF850"/>
    <w:lvl w:ilvl="0" w:tplc="E2AA4F12">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C291E84"/>
    <w:multiLevelType w:val="hybridMultilevel"/>
    <w:tmpl w:val="E0EC76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E7F4584"/>
    <w:multiLevelType w:val="hybridMultilevel"/>
    <w:tmpl w:val="59D0F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EAB65FA"/>
    <w:multiLevelType w:val="hybridMultilevel"/>
    <w:tmpl w:val="557AC418"/>
    <w:lvl w:ilvl="0" w:tplc="E654CEE2">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364145C"/>
    <w:multiLevelType w:val="hybridMultilevel"/>
    <w:tmpl w:val="7BC6E1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8C85E58"/>
    <w:multiLevelType w:val="hybridMultilevel"/>
    <w:tmpl w:val="3FB0B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CFA52C8"/>
    <w:multiLevelType w:val="hybridMultilevel"/>
    <w:tmpl w:val="302435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FB511CC"/>
    <w:multiLevelType w:val="hybridMultilevel"/>
    <w:tmpl w:val="92CAD3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5051002B"/>
    <w:multiLevelType w:val="multilevel"/>
    <w:tmpl w:val="4832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55D05088"/>
    <w:multiLevelType w:val="hybridMultilevel"/>
    <w:tmpl w:val="5BA676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CD50E9B"/>
    <w:multiLevelType w:val="hybridMultilevel"/>
    <w:tmpl w:val="EF1A71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E1D5B94"/>
    <w:multiLevelType w:val="hybridMultilevel"/>
    <w:tmpl w:val="05724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2"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4" w15:restartNumberingAfterBreak="0">
    <w:nsid w:val="6C246F75"/>
    <w:multiLevelType w:val="hybridMultilevel"/>
    <w:tmpl w:val="525E33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5" w15:restartNumberingAfterBreak="0">
    <w:nsid w:val="6F544357"/>
    <w:multiLevelType w:val="hybridMultilevel"/>
    <w:tmpl w:val="5038C6B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7" w15:restartNumberingAfterBreak="0">
    <w:nsid w:val="71854C93"/>
    <w:multiLevelType w:val="hybridMultilevel"/>
    <w:tmpl w:val="EE7A4E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68D56F0"/>
    <w:multiLevelType w:val="hybridMultilevel"/>
    <w:tmpl w:val="0220F0C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9" w15:restartNumberingAfterBreak="0">
    <w:nsid w:val="7CD968D6"/>
    <w:multiLevelType w:val="hybridMultilevel"/>
    <w:tmpl w:val="746E0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EE5721C"/>
    <w:multiLevelType w:val="hybridMultilevel"/>
    <w:tmpl w:val="7CCE62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F343B38"/>
    <w:multiLevelType w:val="hybridMultilevel"/>
    <w:tmpl w:val="0D828EF6"/>
    <w:lvl w:ilvl="0" w:tplc="E6C6CB48">
      <w:start w:val="17"/>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33"/>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558056186">
    <w:abstractNumId w:val="31"/>
  </w:num>
  <w:num w:numId="7" w16cid:durableId="94718398">
    <w:abstractNumId w:val="25"/>
  </w:num>
  <w:num w:numId="8" w16cid:durableId="39020734">
    <w:abstractNumId w:val="14"/>
  </w:num>
  <w:num w:numId="9" w16cid:durableId="272857923">
    <w:abstractNumId w:val="22"/>
  </w:num>
  <w:num w:numId="10" w16cid:durableId="1113865781">
    <w:abstractNumId w:val="26"/>
  </w:num>
  <w:num w:numId="11" w16cid:durableId="173803944">
    <w:abstractNumId w:val="12"/>
  </w:num>
  <w:num w:numId="12" w16cid:durableId="124128548">
    <w:abstractNumId w:val="10"/>
  </w:num>
  <w:num w:numId="13" w16cid:durableId="1302922694">
    <w:abstractNumId w:val="34"/>
  </w:num>
  <w:num w:numId="14" w16cid:durableId="1686007975">
    <w:abstractNumId w:val="8"/>
  </w:num>
  <w:num w:numId="15" w16cid:durableId="952202115">
    <w:abstractNumId w:val="41"/>
  </w:num>
  <w:num w:numId="16" w16cid:durableId="646975843">
    <w:abstractNumId w:val="32"/>
  </w:num>
  <w:num w:numId="17" w16cid:durableId="453064724">
    <w:abstractNumId w:val="19"/>
  </w:num>
  <w:num w:numId="18" w16cid:durableId="16448903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531507">
    <w:abstractNumId w:val="38"/>
  </w:num>
  <w:num w:numId="20" w16cid:durableId="889194308">
    <w:abstractNumId w:val="30"/>
  </w:num>
  <w:num w:numId="21" w16cid:durableId="999969029">
    <w:abstractNumId w:val="35"/>
  </w:num>
  <w:num w:numId="22" w16cid:durableId="1715083673">
    <w:abstractNumId w:val="21"/>
  </w:num>
  <w:num w:numId="23" w16cid:durableId="245967200">
    <w:abstractNumId w:val="9"/>
  </w:num>
  <w:num w:numId="24" w16cid:durableId="182017765">
    <w:abstractNumId w:val="17"/>
  </w:num>
  <w:num w:numId="25" w16cid:durableId="920065433">
    <w:abstractNumId w:val="23"/>
  </w:num>
  <w:num w:numId="26" w16cid:durableId="407583471">
    <w:abstractNumId w:val="11"/>
  </w:num>
  <w:num w:numId="27" w16cid:durableId="2061050068">
    <w:abstractNumId w:val="28"/>
  </w:num>
  <w:num w:numId="28" w16cid:durableId="1881429648">
    <w:abstractNumId w:val="15"/>
  </w:num>
  <w:num w:numId="29" w16cid:durableId="1144850428">
    <w:abstractNumId w:val="37"/>
  </w:num>
  <w:num w:numId="30" w16cid:durableId="884803084">
    <w:abstractNumId w:val="18"/>
  </w:num>
  <w:num w:numId="31" w16cid:durableId="1788967027">
    <w:abstractNumId w:val="39"/>
  </w:num>
  <w:num w:numId="32" w16cid:durableId="927077218">
    <w:abstractNumId w:val="29"/>
  </w:num>
  <w:num w:numId="33" w16cid:durableId="240063491">
    <w:abstractNumId w:val="36"/>
  </w:num>
  <w:num w:numId="34" w16cid:durableId="1228615107">
    <w:abstractNumId w:val="27"/>
  </w:num>
  <w:num w:numId="35" w16cid:durableId="2119448554">
    <w:abstractNumId w:val="7"/>
  </w:num>
  <w:num w:numId="36" w16cid:durableId="2082290657">
    <w:abstractNumId w:val="24"/>
  </w:num>
  <w:num w:numId="37" w16cid:durableId="374433812">
    <w:abstractNumId w:val="13"/>
  </w:num>
  <w:num w:numId="38" w16cid:durableId="306323587">
    <w:abstractNumId w:val="40"/>
  </w:num>
  <w:num w:numId="39" w16cid:durableId="866870334">
    <w:abstractNumId w:val="20"/>
  </w:num>
  <w:num w:numId="40" w16cid:durableId="285355103">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2732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215"/>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2F1"/>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7329"/>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castillalamancha.es/gobierno/igualdadyportavoz/estructura/dpiguyporab/funcionesycompetencias/funciones-y-competencias-de-la-delegaci&#243;n-provincial-consejer&#237;a-de-igualdad-y-portavoz-en-albacete" TargetMode="External"/><Relationship Id="rId18" Type="http://schemas.openxmlformats.org/officeDocument/2006/relationships/hyperlink" Target="https://institutomujer.castillalamancha.e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feda.es/valor-anadido/responsabilidad-social-empresarial/ii-plan-de-igualdad" TargetMode="External"/><Relationship Id="rId17" Type="http://schemas.openxmlformats.org/officeDocument/2006/relationships/hyperlink" Target="https://www.opialbacete.es/entidades-adherida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opialbacete.es/contact/" TargetMode="External"/><Relationship Id="rId20" Type="http://schemas.openxmlformats.org/officeDocument/2006/relationships/hyperlink" Target="https://www.feda.es/component/k2/item/12748-el-opi-entrega-el-distintivo-promocion-igualdad-laboral-a-la-direccion-y-plantilla-de-la-empresa-eiffage-energ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gt.es/sedes/Castilla-La%20Manch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lbacete.es/es/webs-municipales/mujer-igualdad-familia/igualdad" TargetMode="External"/><Relationship Id="rId23" Type="http://schemas.openxmlformats.org/officeDocument/2006/relationships/footer" Target="footer2.xml"/><Relationship Id="rId10" Type="http://schemas.openxmlformats.org/officeDocument/2006/relationships/hyperlink" Target="https://castillalamancha.ccoo.es/Albacete/Sedes_y_Asesorias" TargetMode="External"/><Relationship Id="rId19" Type="http://schemas.openxmlformats.org/officeDocument/2006/relationships/hyperlink" Target="https://www.hellin.es/" TargetMode="External"/><Relationship Id="rId4" Type="http://schemas.openxmlformats.org/officeDocument/2006/relationships/settings" Target="settings.xml"/><Relationship Id="rId9" Type="http://schemas.openxmlformats.org/officeDocument/2006/relationships/hyperlink" Target="https://www.opialbacete.es/" TargetMode="External"/><Relationship Id="rId14" Type="http://schemas.openxmlformats.org/officeDocument/2006/relationships/hyperlink" Target="http://igualdad.dipualba.es/"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778</Words>
  <Characters>5106</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5873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3</cp:revision>
  <cp:lastPrinted>2021-03-16T11:17:00Z</cp:lastPrinted>
  <dcterms:created xsi:type="dcterms:W3CDTF">2024-02-26T17:19:00Z</dcterms:created>
  <dcterms:modified xsi:type="dcterms:W3CDTF">2024-02-26T17:21:00Z</dcterms:modified>
</cp:coreProperties>
</file>