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6C164E" w14:textId="025C5645" w:rsidR="00CF5C64" w:rsidRDefault="00CF5C64" w:rsidP="00012CB7">
      <w:pPr>
        <w:pStyle w:val="Textoindependiente"/>
        <w:jc w:val="right"/>
        <w:rPr>
          <w:rFonts w:ascii="Tahoma" w:hAnsi="Tahoma" w:cs="Tahoma"/>
          <w:b w:val="0"/>
          <w:bCs/>
          <w:sz w:val="22"/>
          <w:szCs w:val="22"/>
        </w:rPr>
      </w:pPr>
    </w:p>
    <w:p w14:paraId="7F71C020" w14:textId="14D96A8C" w:rsidR="000B4ECC" w:rsidRDefault="000B4ECC" w:rsidP="00B269A7">
      <w:pPr>
        <w:pStyle w:val="Textoindependiente"/>
        <w:jc w:val="right"/>
        <w:rPr>
          <w:rFonts w:ascii="Tahoma" w:hAnsi="Tahoma" w:cs="Tahoma"/>
          <w:b w:val="0"/>
          <w:bCs/>
          <w:sz w:val="22"/>
          <w:szCs w:val="22"/>
        </w:rPr>
      </w:pPr>
    </w:p>
    <w:p w14:paraId="0CDED673" w14:textId="4C58A2E3" w:rsidR="00C93A71" w:rsidRDefault="00C93A71" w:rsidP="00C93A71">
      <w:pPr>
        <w:jc w:val="right"/>
        <w:rPr>
          <w:rFonts w:ascii="Tahoma" w:hAnsi="Tahoma" w:cs="Tahoma"/>
          <w:bCs/>
          <w:szCs w:val="24"/>
        </w:rPr>
      </w:pPr>
      <w:r w:rsidRPr="0005119E">
        <w:rPr>
          <w:rFonts w:ascii="Tahoma" w:hAnsi="Tahoma" w:cs="Tahoma"/>
          <w:bCs/>
          <w:szCs w:val="24"/>
        </w:rPr>
        <w:t>Albacete</w:t>
      </w:r>
      <w:r w:rsidRPr="000976B1">
        <w:rPr>
          <w:rFonts w:ascii="Tahoma" w:hAnsi="Tahoma" w:cs="Tahoma"/>
          <w:bCs/>
          <w:szCs w:val="24"/>
        </w:rPr>
        <w:t>,</w:t>
      </w:r>
      <w:r w:rsidR="004E5382">
        <w:rPr>
          <w:rFonts w:ascii="Tahoma" w:hAnsi="Tahoma" w:cs="Tahoma"/>
          <w:bCs/>
          <w:szCs w:val="24"/>
        </w:rPr>
        <w:t xml:space="preserve"> 11</w:t>
      </w:r>
      <w:r w:rsidRPr="000976B1">
        <w:rPr>
          <w:rFonts w:ascii="Tahoma" w:hAnsi="Tahoma" w:cs="Tahoma"/>
          <w:bCs/>
          <w:szCs w:val="24"/>
        </w:rPr>
        <w:t xml:space="preserve"> de </w:t>
      </w:r>
      <w:r>
        <w:rPr>
          <w:rFonts w:ascii="Tahoma" w:hAnsi="Tahoma" w:cs="Tahoma"/>
          <w:bCs/>
          <w:szCs w:val="24"/>
        </w:rPr>
        <w:t>marzo de</w:t>
      </w:r>
      <w:r w:rsidRPr="0005119E">
        <w:rPr>
          <w:rFonts w:ascii="Tahoma" w:hAnsi="Tahoma" w:cs="Tahoma"/>
          <w:bCs/>
          <w:szCs w:val="24"/>
        </w:rPr>
        <w:t xml:space="preserve"> 202</w:t>
      </w:r>
      <w:r>
        <w:rPr>
          <w:rFonts w:ascii="Tahoma" w:hAnsi="Tahoma" w:cs="Tahoma"/>
          <w:bCs/>
          <w:szCs w:val="24"/>
        </w:rPr>
        <w:t>4</w:t>
      </w:r>
    </w:p>
    <w:p w14:paraId="27F8DB3C" w14:textId="77777777" w:rsidR="00C93A71" w:rsidRDefault="00C93A71" w:rsidP="00C93A71">
      <w:pPr>
        <w:jc w:val="right"/>
        <w:rPr>
          <w:rFonts w:ascii="Tahoma" w:hAnsi="Tahoma" w:cs="Tahoma"/>
          <w:bCs/>
          <w:szCs w:val="24"/>
        </w:rPr>
      </w:pPr>
    </w:p>
    <w:p w14:paraId="634BA6DB" w14:textId="77777777" w:rsidR="00DC7DCE" w:rsidRDefault="00DC7DCE" w:rsidP="004E5382">
      <w:pPr>
        <w:shd w:val="clear" w:color="auto" w:fill="FFFFFF"/>
        <w:spacing w:after="120"/>
        <w:ind w:left="-284"/>
        <w:jc w:val="center"/>
        <w:rPr>
          <w:rFonts w:ascii="Tahoma" w:hAnsi="Tahoma" w:cs="Tahoma"/>
          <w:b/>
          <w:bCs/>
          <w:sz w:val="32"/>
          <w:szCs w:val="32"/>
        </w:rPr>
      </w:pPr>
    </w:p>
    <w:p w14:paraId="712DD827" w14:textId="2897D178" w:rsidR="004E5382" w:rsidRDefault="004E5382" w:rsidP="004E5382">
      <w:pPr>
        <w:shd w:val="clear" w:color="auto" w:fill="FFFFFF"/>
        <w:spacing w:after="120"/>
        <w:ind w:left="-284"/>
        <w:jc w:val="center"/>
        <w:rPr>
          <w:rFonts w:ascii="Tahoma" w:hAnsi="Tahoma" w:cs="Tahoma"/>
          <w:b/>
          <w:bCs/>
          <w:sz w:val="32"/>
          <w:szCs w:val="32"/>
        </w:rPr>
      </w:pPr>
      <w:r>
        <w:rPr>
          <w:rFonts w:ascii="Tahoma" w:hAnsi="Tahoma" w:cs="Tahoma"/>
          <w:b/>
          <w:bCs/>
          <w:sz w:val="32"/>
          <w:szCs w:val="32"/>
        </w:rPr>
        <w:t xml:space="preserve">La Gala de entrega de los Premios </w:t>
      </w:r>
      <w:r w:rsidR="00354B60">
        <w:rPr>
          <w:rFonts w:ascii="Tahoma" w:hAnsi="Tahoma" w:cs="Tahoma"/>
          <w:b/>
          <w:bCs/>
          <w:sz w:val="32"/>
          <w:szCs w:val="32"/>
        </w:rPr>
        <w:t xml:space="preserve">Empresariales </w:t>
      </w:r>
      <w:r>
        <w:rPr>
          <w:rFonts w:ascii="Tahoma" w:hAnsi="Tahoma" w:cs="Tahoma"/>
          <w:b/>
          <w:bCs/>
          <w:sz w:val="32"/>
          <w:szCs w:val="32"/>
        </w:rPr>
        <w:t xml:space="preserve">San Juan en su 25º Aniversario </w:t>
      </w:r>
      <w:r w:rsidR="00354B60">
        <w:rPr>
          <w:rFonts w:ascii="Tahoma" w:hAnsi="Tahoma" w:cs="Tahoma"/>
          <w:b/>
          <w:bCs/>
          <w:sz w:val="32"/>
          <w:szCs w:val="32"/>
        </w:rPr>
        <w:t xml:space="preserve">cuenta con la apuesta firme de </w:t>
      </w:r>
      <w:r>
        <w:rPr>
          <w:rFonts w:ascii="Tahoma" w:hAnsi="Tahoma" w:cs="Tahoma"/>
          <w:b/>
          <w:bCs/>
          <w:sz w:val="32"/>
          <w:szCs w:val="32"/>
        </w:rPr>
        <w:t xml:space="preserve">Globalcaja </w:t>
      </w:r>
    </w:p>
    <w:p w14:paraId="217B7327" w14:textId="77777777" w:rsidR="004E5382" w:rsidRDefault="004E5382" w:rsidP="004E5382">
      <w:pPr>
        <w:shd w:val="clear" w:color="auto" w:fill="FFFFFF"/>
        <w:spacing w:after="120"/>
        <w:ind w:left="-284"/>
        <w:jc w:val="center"/>
        <w:rPr>
          <w:rFonts w:ascii="Tahoma" w:hAnsi="Tahoma" w:cs="Tahoma"/>
          <w:b/>
          <w:bCs/>
          <w:sz w:val="32"/>
          <w:szCs w:val="32"/>
        </w:rPr>
      </w:pPr>
    </w:p>
    <w:p w14:paraId="4BB202A0" w14:textId="6565E994" w:rsidR="004E5382" w:rsidRPr="004E5382" w:rsidRDefault="004E5382" w:rsidP="004E5382">
      <w:pPr>
        <w:pStyle w:val="Prrafodelista"/>
        <w:numPr>
          <w:ilvl w:val="0"/>
          <w:numId w:val="45"/>
        </w:numPr>
        <w:shd w:val="clear" w:color="auto" w:fill="FFFFFF"/>
        <w:spacing w:after="120"/>
        <w:jc w:val="center"/>
        <w:rPr>
          <w:rFonts w:ascii="Tahoma" w:hAnsi="Tahoma" w:cs="Tahoma"/>
          <w:b/>
          <w:bCs/>
        </w:rPr>
      </w:pPr>
      <w:r>
        <w:rPr>
          <w:rFonts w:ascii="Tahoma" w:hAnsi="Tahoma" w:cs="Tahoma"/>
          <w:b/>
          <w:bCs/>
        </w:rPr>
        <w:t xml:space="preserve">La entidad y </w:t>
      </w:r>
      <w:r w:rsidRPr="004E5382">
        <w:rPr>
          <w:rFonts w:ascii="Tahoma" w:hAnsi="Tahoma" w:cs="Tahoma"/>
          <w:b/>
          <w:bCs/>
        </w:rPr>
        <w:t>FEDA renuevan su colaboración para el impulso de acciones dirigidas a la internacionalización de las empresas y el apoyo al comercio de Albacete</w:t>
      </w:r>
    </w:p>
    <w:p w14:paraId="5D718B24" w14:textId="77777777" w:rsidR="004E5382" w:rsidRDefault="004E5382" w:rsidP="004E5382">
      <w:pPr>
        <w:shd w:val="clear" w:color="auto" w:fill="FFFFFF"/>
        <w:spacing w:after="120"/>
        <w:contextualSpacing/>
        <w:jc w:val="center"/>
        <w:rPr>
          <w:rFonts w:ascii="Tahoma" w:hAnsi="Tahoma" w:cs="Tahoma"/>
          <w:b/>
        </w:rPr>
      </w:pPr>
    </w:p>
    <w:p w14:paraId="7174F142" w14:textId="77777777" w:rsidR="00DC7DCE" w:rsidRDefault="00DC7DCE" w:rsidP="004E5382">
      <w:pPr>
        <w:shd w:val="clear" w:color="auto" w:fill="FFFFFF"/>
        <w:spacing w:after="120"/>
        <w:contextualSpacing/>
        <w:jc w:val="center"/>
        <w:rPr>
          <w:rFonts w:ascii="Tahoma" w:hAnsi="Tahoma" w:cs="Tahoma"/>
          <w:b/>
        </w:rPr>
      </w:pPr>
    </w:p>
    <w:p w14:paraId="31EDD7BA" w14:textId="77777777" w:rsidR="004E5382" w:rsidRDefault="004E5382" w:rsidP="004E5382">
      <w:pPr>
        <w:shd w:val="clear" w:color="auto" w:fill="FFFFFF"/>
        <w:spacing w:after="120"/>
        <w:contextualSpacing/>
        <w:rPr>
          <w:rFonts w:ascii="Tahoma" w:hAnsi="Tahoma" w:cs="Tahoma"/>
          <w:bCs/>
          <w:sz w:val="22"/>
          <w:szCs w:val="22"/>
        </w:rPr>
      </w:pPr>
    </w:p>
    <w:p w14:paraId="2BD96CFF" w14:textId="2A374B61" w:rsidR="004E5382" w:rsidRDefault="004E5382" w:rsidP="004E5382">
      <w:pPr>
        <w:shd w:val="clear" w:color="auto" w:fill="FFFFFF"/>
        <w:spacing w:after="120"/>
        <w:contextualSpacing/>
        <w:rPr>
          <w:rFonts w:ascii="Tahoma" w:hAnsi="Tahoma" w:cs="Tahoma"/>
          <w:bCs/>
          <w:sz w:val="22"/>
          <w:szCs w:val="22"/>
        </w:rPr>
      </w:pPr>
      <w:r>
        <w:rPr>
          <w:rFonts w:ascii="Tahoma" w:hAnsi="Tahoma" w:cs="Tahoma"/>
          <w:bCs/>
          <w:sz w:val="22"/>
          <w:szCs w:val="22"/>
        </w:rPr>
        <w:t xml:space="preserve">Con la firma del convenio, el presidente de la entidad, </w:t>
      </w:r>
      <w:r w:rsidR="00DC7DCE">
        <w:rPr>
          <w:rFonts w:ascii="Tahoma" w:hAnsi="Tahoma" w:cs="Tahoma"/>
          <w:bCs/>
          <w:sz w:val="22"/>
          <w:szCs w:val="22"/>
        </w:rPr>
        <w:t>Mariano León Ejido,</w:t>
      </w:r>
      <w:r>
        <w:rPr>
          <w:rFonts w:ascii="Tahoma" w:hAnsi="Tahoma" w:cs="Tahoma"/>
          <w:bCs/>
          <w:sz w:val="22"/>
          <w:szCs w:val="22"/>
        </w:rPr>
        <w:t xml:space="preserve"> y el presidente de la Confederación, Artemio Pérez Alfaro, renuevan el compromiso de colaboración entre </w:t>
      </w:r>
      <w:hyperlink r:id="rId8" w:history="1">
        <w:r w:rsidRPr="00DC7DCE">
          <w:rPr>
            <w:rStyle w:val="Hipervnculo"/>
            <w:rFonts w:ascii="Tahoma" w:hAnsi="Tahoma" w:cs="Tahoma"/>
            <w:bCs/>
            <w:sz w:val="22"/>
            <w:szCs w:val="22"/>
          </w:rPr>
          <w:t>Globalcaja</w:t>
        </w:r>
      </w:hyperlink>
      <w:r>
        <w:rPr>
          <w:rFonts w:ascii="Tahoma" w:hAnsi="Tahoma" w:cs="Tahoma"/>
          <w:bCs/>
          <w:sz w:val="22"/>
          <w:szCs w:val="22"/>
        </w:rPr>
        <w:t xml:space="preserve"> y </w:t>
      </w:r>
      <w:hyperlink r:id="rId9" w:history="1">
        <w:r w:rsidRPr="00DC7DCE">
          <w:rPr>
            <w:rStyle w:val="Hipervnculo"/>
            <w:rFonts w:ascii="Tahoma" w:hAnsi="Tahoma" w:cs="Tahoma"/>
            <w:bCs/>
            <w:sz w:val="22"/>
            <w:szCs w:val="22"/>
          </w:rPr>
          <w:t>FEDA</w:t>
        </w:r>
      </w:hyperlink>
      <w:r>
        <w:rPr>
          <w:rFonts w:ascii="Tahoma" w:hAnsi="Tahoma" w:cs="Tahoma"/>
          <w:bCs/>
          <w:sz w:val="22"/>
          <w:szCs w:val="22"/>
        </w:rPr>
        <w:t>, apostando por acciones de fortalecimiento y crecimiento del tejido empresarial de la provincia.</w:t>
      </w:r>
    </w:p>
    <w:p w14:paraId="28628582" w14:textId="77777777" w:rsidR="004E5382" w:rsidRDefault="004E5382" w:rsidP="004E5382">
      <w:pPr>
        <w:shd w:val="clear" w:color="auto" w:fill="FFFFFF"/>
        <w:spacing w:after="120"/>
        <w:contextualSpacing/>
        <w:rPr>
          <w:rFonts w:ascii="Tahoma" w:hAnsi="Tahoma" w:cs="Tahoma"/>
          <w:bCs/>
          <w:sz w:val="22"/>
          <w:szCs w:val="22"/>
        </w:rPr>
      </w:pPr>
    </w:p>
    <w:p w14:paraId="69ED05EA" w14:textId="6A3E88F7" w:rsidR="004E5382" w:rsidRDefault="004E5382" w:rsidP="004E5382">
      <w:pPr>
        <w:shd w:val="clear" w:color="auto" w:fill="FFFFFF"/>
        <w:spacing w:after="120"/>
        <w:contextualSpacing/>
        <w:rPr>
          <w:rFonts w:ascii="Tahoma" w:hAnsi="Tahoma" w:cs="Tahoma"/>
          <w:bCs/>
          <w:sz w:val="22"/>
          <w:szCs w:val="22"/>
        </w:rPr>
      </w:pPr>
      <w:r>
        <w:rPr>
          <w:rFonts w:ascii="Tahoma" w:hAnsi="Tahoma" w:cs="Tahoma"/>
          <w:bCs/>
          <w:sz w:val="22"/>
          <w:szCs w:val="22"/>
        </w:rPr>
        <w:t>En este año, destaca sobre manera la apuesta de Globalcaja, al unísono con FEDA, por el reconocimiento empresarial que suponen los Premios San Juan</w:t>
      </w:r>
      <w:r w:rsidR="00354B60">
        <w:rPr>
          <w:rFonts w:ascii="Tahoma" w:hAnsi="Tahoma" w:cs="Tahoma"/>
          <w:bCs/>
          <w:sz w:val="22"/>
          <w:szCs w:val="22"/>
        </w:rPr>
        <w:t>’2024</w:t>
      </w:r>
      <w:r>
        <w:rPr>
          <w:rFonts w:ascii="Tahoma" w:hAnsi="Tahoma" w:cs="Tahoma"/>
          <w:bCs/>
          <w:sz w:val="22"/>
          <w:szCs w:val="22"/>
        </w:rPr>
        <w:t>, que este año llegan al 25º Aniversario y que la entidad contin</w:t>
      </w:r>
      <w:r w:rsidR="00354B60">
        <w:rPr>
          <w:rFonts w:ascii="Tahoma" w:hAnsi="Tahoma" w:cs="Tahoma"/>
          <w:bCs/>
          <w:sz w:val="22"/>
          <w:szCs w:val="22"/>
        </w:rPr>
        <w:t>ú</w:t>
      </w:r>
      <w:r>
        <w:rPr>
          <w:rFonts w:ascii="Tahoma" w:hAnsi="Tahoma" w:cs="Tahoma"/>
          <w:bCs/>
          <w:sz w:val="22"/>
          <w:szCs w:val="22"/>
        </w:rPr>
        <w:t xml:space="preserve">a siendo la patrocinadora de la Gala, </w:t>
      </w:r>
      <w:r w:rsidR="00354B60">
        <w:rPr>
          <w:rFonts w:ascii="Tahoma" w:hAnsi="Tahoma" w:cs="Tahoma"/>
          <w:bCs/>
          <w:sz w:val="22"/>
          <w:szCs w:val="22"/>
        </w:rPr>
        <w:t xml:space="preserve">el próximo 21 de junio, </w:t>
      </w:r>
      <w:r>
        <w:rPr>
          <w:rFonts w:ascii="Tahoma" w:hAnsi="Tahoma" w:cs="Tahoma"/>
          <w:bCs/>
          <w:sz w:val="22"/>
          <w:szCs w:val="22"/>
        </w:rPr>
        <w:t>de unos Premios que son referente en la provincia y casi en la región, poniendo en valor la figura de la empresa en el contexto social y económico</w:t>
      </w:r>
      <w:r w:rsidR="00354B60">
        <w:rPr>
          <w:rFonts w:ascii="Tahoma" w:hAnsi="Tahoma" w:cs="Tahoma"/>
          <w:bCs/>
          <w:sz w:val="22"/>
          <w:szCs w:val="22"/>
        </w:rPr>
        <w:t xml:space="preserve"> y en diferentes ámbitos, desde la apuesta por la innovación, el medio ambiente, la exportación o la tradición. </w:t>
      </w:r>
    </w:p>
    <w:p w14:paraId="7C22837B" w14:textId="77777777" w:rsidR="00354B60" w:rsidRDefault="00354B60" w:rsidP="004E5382">
      <w:pPr>
        <w:shd w:val="clear" w:color="auto" w:fill="FFFFFF"/>
        <w:spacing w:after="120"/>
        <w:contextualSpacing/>
        <w:rPr>
          <w:rFonts w:ascii="Tahoma" w:hAnsi="Tahoma" w:cs="Tahoma"/>
          <w:bCs/>
          <w:sz w:val="22"/>
          <w:szCs w:val="22"/>
        </w:rPr>
      </w:pPr>
    </w:p>
    <w:p w14:paraId="0F4AEBEF" w14:textId="26539E8F" w:rsidR="004E5382" w:rsidRDefault="004E5382" w:rsidP="004E5382">
      <w:pPr>
        <w:rPr>
          <w:rFonts w:ascii="Tahoma" w:hAnsi="Tahoma" w:cs="Tahoma"/>
          <w:color w:val="000000" w:themeColor="text1"/>
          <w:sz w:val="22"/>
          <w:szCs w:val="22"/>
        </w:rPr>
      </w:pPr>
      <w:r w:rsidRPr="00A773BB">
        <w:rPr>
          <w:rFonts w:ascii="Tahoma" w:hAnsi="Tahoma" w:cs="Tahoma"/>
          <w:color w:val="000000" w:themeColor="text1"/>
          <w:sz w:val="22"/>
          <w:szCs w:val="22"/>
        </w:rPr>
        <w:t xml:space="preserve">El presidente de Globalcaja, </w:t>
      </w:r>
      <w:r w:rsidR="00DC7DCE">
        <w:rPr>
          <w:rFonts w:ascii="Tahoma" w:hAnsi="Tahoma" w:cs="Tahoma"/>
          <w:color w:val="000000" w:themeColor="text1"/>
          <w:sz w:val="22"/>
          <w:szCs w:val="22"/>
        </w:rPr>
        <w:t xml:space="preserve">Mariano </w:t>
      </w:r>
      <w:r w:rsidR="00DC7DCE">
        <w:rPr>
          <w:rFonts w:ascii="Tahoma" w:hAnsi="Tahoma" w:cs="Tahoma"/>
          <w:color w:val="000000" w:themeColor="text1"/>
          <w:sz w:val="22"/>
          <w:szCs w:val="22"/>
        </w:rPr>
        <w:t>León, quien ha agradecido a FEDA y, especialmente, a su presidente, Artemio Pérez, la labor que realizan por el desarrollo del crecimiento empresarial en Albacete, ha valorado la estrecha colaboración que mantienen ambas organizaciones, impulsando diversas iniciativas con las que se persigue el fortalecimiento del tejido empresarial. “Para Globalcaja, apoyar a los empresarios es apoyar al conjunto de la sociedad porque son ellos quienes generan riqueza y empleo en nuestro territorio”, ha señalado.</w:t>
      </w:r>
    </w:p>
    <w:p w14:paraId="4849F5F5" w14:textId="77777777" w:rsidR="004E5382" w:rsidRPr="00A773BB" w:rsidRDefault="004E5382" w:rsidP="004E5382">
      <w:pPr>
        <w:rPr>
          <w:rFonts w:ascii="Tahoma" w:hAnsi="Tahoma" w:cs="Tahoma"/>
          <w:color w:val="000000" w:themeColor="text1"/>
          <w:sz w:val="22"/>
          <w:szCs w:val="22"/>
        </w:rPr>
      </w:pPr>
    </w:p>
    <w:p w14:paraId="22E3D698" w14:textId="49C6A24E" w:rsidR="004E5382" w:rsidRDefault="004E5382" w:rsidP="004E5382">
      <w:pPr>
        <w:rPr>
          <w:rFonts w:ascii="Tahoma" w:hAnsi="Tahoma" w:cs="Tahoma"/>
          <w:color w:val="000000" w:themeColor="text1"/>
          <w:sz w:val="22"/>
          <w:szCs w:val="22"/>
        </w:rPr>
      </w:pPr>
      <w:r w:rsidRPr="00A773BB">
        <w:rPr>
          <w:rFonts w:ascii="Tahoma" w:hAnsi="Tahoma" w:cs="Tahoma"/>
          <w:color w:val="000000" w:themeColor="text1"/>
          <w:sz w:val="22"/>
          <w:szCs w:val="22"/>
        </w:rPr>
        <w:t xml:space="preserve">Por su parte, Artemio Pérez, ha destacado el grado de colaboración </w:t>
      </w:r>
      <w:r>
        <w:rPr>
          <w:rFonts w:ascii="Tahoma" w:hAnsi="Tahoma" w:cs="Tahoma"/>
          <w:color w:val="000000" w:themeColor="text1"/>
          <w:sz w:val="22"/>
          <w:szCs w:val="22"/>
        </w:rPr>
        <w:t xml:space="preserve">que </w:t>
      </w:r>
      <w:r w:rsidRPr="00A773BB">
        <w:rPr>
          <w:rFonts w:ascii="Tahoma" w:hAnsi="Tahoma" w:cs="Tahoma"/>
          <w:color w:val="000000" w:themeColor="text1"/>
          <w:sz w:val="22"/>
          <w:szCs w:val="22"/>
        </w:rPr>
        <w:t xml:space="preserve">la Confederación mantiene con Globalcaja, como entidad de referencia en la provincia, y ha </w:t>
      </w:r>
      <w:r>
        <w:rPr>
          <w:rFonts w:ascii="Tahoma" w:hAnsi="Tahoma" w:cs="Tahoma"/>
          <w:color w:val="000000" w:themeColor="text1"/>
          <w:sz w:val="22"/>
          <w:szCs w:val="22"/>
        </w:rPr>
        <w:t>a</w:t>
      </w:r>
      <w:r w:rsidRPr="00A773BB">
        <w:rPr>
          <w:rFonts w:ascii="Tahoma" w:hAnsi="Tahoma" w:cs="Tahoma"/>
          <w:color w:val="000000" w:themeColor="text1"/>
          <w:sz w:val="22"/>
          <w:szCs w:val="22"/>
        </w:rPr>
        <w:t>gradecido a su presidente que un año más se vuelva a renovar esta colaboración, poniendo de relieve el apoyo que la entidad presta así a las empresas de Albacete.</w:t>
      </w:r>
      <w:r>
        <w:rPr>
          <w:rFonts w:ascii="Tahoma" w:hAnsi="Tahoma" w:cs="Tahoma"/>
          <w:color w:val="000000" w:themeColor="text1"/>
          <w:sz w:val="22"/>
          <w:szCs w:val="22"/>
        </w:rPr>
        <w:t xml:space="preserve"> </w:t>
      </w:r>
    </w:p>
    <w:p w14:paraId="05C43E26" w14:textId="77777777" w:rsidR="004E5382" w:rsidRDefault="004E5382" w:rsidP="004E5382">
      <w:pPr>
        <w:rPr>
          <w:rFonts w:ascii="Tahoma" w:hAnsi="Tahoma" w:cs="Tahoma"/>
          <w:color w:val="000000" w:themeColor="text1"/>
          <w:sz w:val="22"/>
          <w:szCs w:val="22"/>
        </w:rPr>
      </w:pPr>
    </w:p>
    <w:p w14:paraId="7177F390" w14:textId="631E16DF" w:rsidR="004E5382" w:rsidRDefault="004E5382" w:rsidP="004E5382">
      <w:pPr>
        <w:rPr>
          <w:rFonts w:ascii="Tahoma" w:hAnsi="Tahoma" w:cs="Tahoma"/>
          <w:color w:val="000000" w:themeColor="text1"/>
          <w:sz w:val="22"/>
          <w:szCs w:val="22"/>
        </w:rPr>
      </w:pPr>
      <w:r>
        <w:rPr>
          <w:rFonts w:ascii="Tahoma" w:hAnsi="Tahoma" w:cs="Tahoma"/>
          <w:color w:val="000000" w:themeColor="text1"/>
          <w:sz w:val="22"/>
          <w:szCs w:val="22"/>
        </w:rPr>
        <w:t>El presidente de FEDA ha recibido por primera vez al presidente de Globalcaja en la sede de los empresarios y empresarias de Albacete, dándole la bienvenida y poniendo a su disposición unas instalaciones modernas y funcionales que la entidad utiliza para reuniones de trabajo con sus equipos técnicos.</w:t>
      </w:r>
    </w:p>
    <w:p w14:paraId="54D30F85" w14:textId="77777777" w:rsidR="004E5382" w:rsidRDefault="004E5382" w:rsidP="004E5382">
      <w:pPr>
        <w:rPr>
          <w:rFonts w:ascii="Tahoma" w:hAnsi="Tahoma" w:cs="Tahoma"/>
          <w:color w:val="000000" w:themeColor="text1"/>
          <w:sz w:val="22"/>
          <w:szCs w:val="22"/>
        </w:rPr>
      </w:pPr>
    </w:p>
    <w:p w14:paraId="163017C8" w14:textId="77777777" w:rsidR="004E5382" w:rsidRDefault="004E5382" w:rsidP="004E5382">
      <w:pPr>
        <w:rPr>
          <w:rFonts w:ascii="Tahoma" w:hAnsi="Tahoma" w:cs="Tahoma"/>
          <w:sz w:val="22"/>
          <w:szCs w:val="22"/>
        </w:rPr>
      </w:pPr>
      <w:r w:rsidRPr="00A773BB">
        <w:rPr>
          <w:rFonts w:ascii="Tahoma" w:hAnsi="Tahoma" w:cs="Tahoma"/>
          <w:sz w:val="22"/>
          <w:szCs w:val="22"/>
        </w:rPr>
        <w:t xml:space="preserve">Además, en virtud de este convenio, la entidad financiera colaborará en el impulso de las acciones de promoción del sector del comercio que lleva a cabo la </w:t>
      </w:r>
      <w:hyperlink r:id="rId10" w:history="1">
        <w:r w:rsidRPr="003B70F9">
          <w:rPr>
            <w:rStyle w:val="Hipervnculo"/>
            <w:rFonts w:ascii="Tahoma" w:hAnsi="Tahoma" w:cs="Tahoma"/>
            <w:sz w:val="22"/>
            <w:szCs w:val="22"/>
          </w:rPr>
          <w:t>Federación de Comercio de Albacete (FECOM)</w:t>
        </w:r>
      </w:hyperlink>
      <w:r w:rsidRPr="00A773BB">
        <w:rPr>
          <w:rFonts w:ascii="Tahoma" w:hAnsi="Tahoma" w:cs="Tahoma"/>
          <w:sz w:val="22"/>
          <w:szCs w:val="22"/>
        </w:rPr>
        <w:t xml:space="preserve">, entendiendo que este sector tiene un peso específico importante en la economía local. </w:t>
      </w:r>
    </w:p>
    <w:p w14:paraId="3E2621B7" w14:textId="77777777" w:rsidR="00DC7DCE" w:rsidRDefault="00DC7DCE" w:rsidP="004E5382">
      <w:pPr>
        <w:rPr>
          <w:rFonts w:ascii="Tahoma" w:hAnsi="Tahoma" w:cs="Tahoma"/>
          <w:sz w:val="22"/>
          <w:szCs w:val="22"/>
        </w:rPr>
      </w:pPr>
    </w:p>
    <w:p w14:paraId="05CFE26E" w14:textId="77777777" w:rsidR="00DC7DCE" w:rsidRDefault="00DC7DCE" w:rsidP="004E5382">
      <w:pPr>
        <w:rPr>
          <w:rFonts w:ascii="Tahoma" w:hAnsi="Tahoma" w:cs="Tahoma"/>
          <w:sz w:val="22"/>
          <w:szCs w:val="22"/>
        </w:rPr>
      </w:pPr>
    </w:p>
    <w:p w14:paraId="6FDB7558" w14:textId="77777777" w:rsidR="00DC7DCE" w:rsidRDefault="00DC7DCE" w:rsidP="004E5382">
      <w:pPr>
        <w:rPr>
          <w:rFonts w:ascii="Tahoma" w:hAnsi="Tahoma" w:cs="Tahoma"/>
          <w:sz w:val="22"/>
          <w:szCs w:val="22"/>
        </w:rPr>
      </w:pPr>
    </w:p>
    <w:p w14:paraId="6B83566F" w14:textId="77777777" w:rsidR="00DC7DCE" w:rsidRDefault="00DC7DCE" w:rsidP="004E5382">
      <w:pPr>
        <w:rPr>
          <w:rFonts w:ascii="Tahoma" w:hAnsi="Tahoma" w:cs="Tahoma"/>
          <w:sz w:val="22"/>
          <w:szCs w:val="22"/>
        </w:rPr>
      </w:pPr>
    </w:p>
    <w:p w14:paraId="4E0D0AE1" w14:textId="77777777" w:rsidR="004E5382" w:rsidRPr="00A773BB" w:rsidRDefault="004E5382" w:rsidP="004E5382">
      <w:pPr>
        <w:rPr>
          <w:rFonts w:ascii="Tahoma" w:hAnsi="Tahoma" w:cs="Tahoma"/>
          <w:sz w:val="22"/>
          <w:szCs w:val="22"/>
        </w:rPr>
      </w:pPr>
    </w:p>
    <w:p w14:paraId="255A35D9" w14:textId="2EF35FBD" w:rsidR="00354B60" w:rsidRDefault="004E5382" w:rsidP="00354B60">
      <w:pPr>
        <w:rPr>
          <w:rFonts w:ascii="Tahoma" w:hAnsi="Tahoma" w:cs="Tahoma"/>
          <w:color w:val="0000FF"/>
          <w:sz w:val="22"/>
          <w:szCs w:val="22"/>
        </w:rPr>
      </w:pPr>
      <w:r w:rsidRPr="00A773BB">
        <w:rPr>
          <w:rFonts w:ascii="Tahoma" w:hAnsi="Tahoma" w:cs="Tahoma"/>
          <w:sz w:val="22"/>
          <w:szCs w:val="22"/>
        </w:rPr>
        <w:t xml:space="preserve">Igualmente, </w:t>
      </w:r>
      <w:r w:rsidR="00354B60">
        <w:rPr>
          <w:rFonts w:ascii="Tahoma" w:hAnsi="Tahoma" w:cs="Tahoma"/>
          <w:sz w:val="22"/>
          <w:szCs w:val="22"/>
        </w:rPr>
        <w:t xml:space="preserve">Globalcaja participa en </w:t>
      </w:r>
      <w:r>
        <w:rPr>
          <w:rFonts w:ascii="Tahoma" w:hAnsi="Tahoma" w:cs="Tahoma"/>
          <w:sz w:val="22"/>
          <w:szCs w:val="22"/>
        </w:rPr>
        <w:t>‘In-FEDA</w:t>
      </w:r>
      <w:r w:rsidRPr="00A773BB">
        <w:rPr>
          <w:rFonts w:ascii="Tahoma" w:hAnsi="Tahoma" w:cs="Tahoma"/>
          <w:sz w:val="22"/>
          <w:szCs w:val="22"/>
        </w:rPr>
        <w:t xml:space="preserve"> 202</w:t>
      </w:r>
      <w:r w:rsidR="00354B60">
        <w:rPr>
          <w:rFonts w:ascii="Tahoma" w:hAnsi="Tahoma" w:cs="Tahoma"/>
          <w:sz w:val="22"/>
          <w:szCs w:val="22"/>
        </w:rPr>
        <w:t>4</w:t>
      </w:r>
      <w:r w:rsidRPr="00A773BB">
        <w:rPr>
          <w:rFonts w:ascii="Tahoma" w:hAnsi="Tahoma" w:cs="Tahoma"/>
          <w:sz w:val="22"/>
          <w:szCs w:val="22"/>
        </w:rPr>
        <w:t xml:space="preserve">’, que incluye </w:t>
      </w:r>
      <w:r w:rsidR="00354B60">
        <w:rPr>
          <w:rFonts w:ascii="Tahoma" w:hAnsi="Tahoma" w:cs="Tahoma"/>
          <w:sz w:val="22"/>
          <w:szCs w:val="22"/>
        </w:rPr>
        <w:t xml:space="preserve">rondas empresariales. </w:t>
      </w:r>
      <w:r w:rsidR="00354B60" w:rsidRPr="00377CA1">
        <w:rPr>
          <w:rFonts w:ascii="Tahoma" w:hAnsi="Tahoma" w:cs="Tahoma"/>
          <w:color w:val="000000" w:themeColor="text1"/>
          <w:sz w:val="22"/>
          <w:szCs w:val="22"/>
        </w:rPr>
        <w:t>En esta edición, se apuesta por la innovación, la tecnología y la digitalización más novedosa en el contexto de la internacionalización,</w:t>
      </w:r>
      <w:r w:rsidR="00354B60" w:rsidRPr="00BC7CCF">
        <w:rPr>
          <w:rFonts w:ascii="Tahoma" w:hAnsi="Tahoma" w:cs="Tahoma"/>
          <w:bCs/>
          <w:color w:val="000000" w:themeColor="text1"/>
          <w:sz w:val="22"/>
          <w:szCs w:val="22"/>
        </w:rPr>
        <w:t xml:space="preserve"> todas ellas imprescindibles hoy en día para potenciar el crecimiento y la competitividad  en</w:t>
      </w:r>
      <w:r w:rsidR="00354B60" w:rsidRPr="00BC7CCF">
        <w:rPr>
          <w:rFonts w:ascii="Tahoma" w:hAnsi="Tahoma" w:cs="Tahoma"/>
          <w:color w:val="000000" w:themeColor="text1"/>
          <w:sz w:val="22"/>
          <w:szCs w:val="22"/>
        </w:rPr>
        <w:t xml:space="preserve"> el tejido empresarial de Castilla-La Mancha: </w:t>
      </w:r>
      <w:hyperlink r:id="rId11" w:history="1">
        <w:r w:rsidR="00354B60" w:rsidRPr="00BC7CCF">
          <w:rPr>
            <w:rStyle w:val="Hipervnculo"/>
            <w:rFonts w:ascii="Tahoma" w:hAnsi="Tahoma" w:cs="Tahoma"/>
            <w:sz w:val="22"/>
            <w:szCs w:val="22"/>
          </w:rPr>
          <w:t xml:space="preserve">Automatización e Inteligencia </w:t>
        </w:r>
        <w:r w:rsidR="00354B60" w:rsidRPr="00BC7CCF">
          <w:rPr>
            <w:rStyle w:val="Hipervnculo"/>
            <w:rFonts w:ascii="Tahoma" w:hAnsi="Tahoma" w:cs="Tahoma"/>
            <w:sz w:val="22"/>
            <w:szCs w:val="22"/>
          </w:rPr>
          <w:lastRenderedPageBreak/>
          <w:t>Artificial como herramientas de ahorro de costes operativos</w:t>
        </w:r>
      </w:hyperlink>
      <w:r w:rsidR="00354B60" w:rsidRPr="00BC7CCF">
        <w:rPr>
          <w:rStyle w:val="Hipervnculo"/>
          <w:rFonts w:ascii="Tahoma" w:hAnsi="Tahoma" w:cs="Tahoma"/>
          <w:sz w:val="22"/>
          <w:szCs w:val="22"/>
        </w:rPr>
        <w:t xml:space="preserve"> en operaciones internacionales</w:t>
      </w:r>
      <w:r w:rsidR="00354B60" w:rsidRPr="00BC7CCF">
        <w:rPr>
          <w:rFonts w:ascii="Tahoma" w:hAnsi="Tahoma" w:cs="Tahoma"/>
          <w:color w:val="0000FF"/>
          <w:sz w:val="22"/>
          <w:szCs w:val="22"/>
        </w:rPr>
        <w:t xml:space="preserve">, </w:t>
      </w:r>
      <w:hyperlink r:id="rId12" w:history="1">
        <w:r w:rsidR="00354B60" w:rsidRPr="00BC7CCF">
          <w:rPr>
            <w:rStyle w:val="Hipervnculo"/>
            <w:rFonts w:ascii="Tahoma" w:hAnsi="Tahoma" w:cs="Tahoma"/>
            <w:sz w:val="22"/>
            <w:szCs w:val="22"/>
          </w:rPr>
          <w:t>Blockchain- Descentralización de Operaciones internacionales y sus beneficios</w:t>
        </w:r>
      </w:hyperlink>
      <w:r w:rsidR="00354B60" w:rsidRPr="00BC7CCF">
        <w:rPr>
          <w:rFonts w:ascii="Tahoma" w:hAnsi="Tahoma" w:cs="Tahoma"/>
          <w:color w:val="0000FF"/>
          <w:sz w:val="22"/>
          <w:szCs w:val="22"/>
        </w:rPr>
        <w:t xml:space="preserve">; </w:t>
      </w:r>
      <w:hyperlink r:id="rId13" w:history="1">
        <w:r w:rsidR="00354B60" w:rsidRPr="00BC7CCF">
          <w:rPr>
            <w:rStyle w:val="Hipervnculo"/>
            <w:rFonts w:ascii="Tahoma" w:hAnsi="Tahoma" w:cs="Tahoma"/>
            <w:sz w:val="22"/>
            <w:szCs w:val="22"/>
          </w:rPr>
          <w:t>Propiedad Intelectual: Ventaja Competitiva en Mercados Internacionales</w:t>
        </w:r>
      </w:hyperlink>
      <w:r w:rsidR="00354B60" w:rsidRPr="00BC7CCF">
        <w:rPr>
          <w:rFonts w:ascii="Tahoma" w:hAnsi="Tahoma" w:cs="Tahoma"/>
          <w:color w:val="0000FF"/>
          <w:sz w:val="22"/>
          <w:szCs w:val="22"/>
        </w:rPr>
        <w:t xml:space="preserve">; y </w:t>
      </w:r>
      <w:hyperlink r:id="rId14" w:history="1">
        <w:r w:rsidR="00354B60" w:rsidRPr="00BC7CCF">
          <w:rPr>
            <w:rStyle w:val="Hipervnculo"/>
            <w:rFonts w:ascii="Tahoma" w:hAnsi="Tahoma" w:cs="Tahoma"/>
            <w:sz w:val="22"/>
            <w:szCs w:val="22"/>
          </w:rPr>
          <w:t>Polonia: Oportunidades de mercado y herramientas de negociación</w:t>
        </w:r>
      </w:hyperlink>
      <w:r w:rsidR="00354B60" w:rsidRPr="00BC7CCF">
        <w:rPr>
          <w:rFonts w:ascii="Tahoma" w:hAnsi="Tahoma" w:cs="Tahoma"/>
          <w:color w:val="0000FF"/>
          <w:sz w:val="22"/>
          <w:szCs w:val="22"/>
        </w:rPr>
        <w:t>.</w:t>
      </w:r>
    </w:p>
    <w:p w14:paraId="3F697897" w14:textId="77777777" w:rsidR="00354B60" w:rsidRDefault="00354B60" w:rsidP="004E5382">
      <w:pPr>
        <w:rPr>
          <w:rFonts w:ascii="Tahoma" w:hAnsi="Tahoma" w:cs="Tahoma"/>
          <w:sz w:val="22"/>
          <w:szCs w:val="22"/>
        </w:rPr>
      </w:pPr>
    </w:p>
    <w:p w14:paraId="72450759" w14:textId="7C196E41" w:rsidR="004E5382" w:rsidRDefault="00354B60" w:rsidP="00354B60">
      <w:pPr>
        <w:spacing w:after="240"/>
        <w:rPr>
          <w:rFonts w:ascii="Tahoma" w:hAnsi="Tahoma" w:cs="Tahoma"/>
          <w:sz w:val="22"/>
          <w:szCs w:val="22"/>
        </w:rPr>
      </w:pPr>
      <w:r>
        <w:rPr>
          <w:rFonts w:ascii="Tahoma" w:hAnsi="Tahoma" w:cs="Tahoma"/>
          <w:sz w:val="22"/>
          <w:szCs w:val="22"/>
        </w:rPr>
        <w:t xml:space="preserve">En concreto, </w:t>
      </w:r>
      <w:r>
        <w:rPr>
          <w:rFonts w:ascii="Tahoma" w:hAnsi="Tahoma" w:cs="Tahoma"/>
          <w:color w:val="000000" w:themeColor="text1"/>
          <w:sz w:val="22"/>
          <w:szCs w:val="22"/>
        </w:rPr>
        <w:t>l</w:t>
      </w:r>
      <w:r w:rsidRPr="00BC7CCF">
        <w:rPr>
          <w:rFonts w:ascii="Tahoma" w:hAnsi="Tahoma" w:cs="Tahoma"/>
          <w:color w:val="000000" w:themeColor="text1"/>
          <w:sz w:val="22"/>
          <w:szCs w:val="22"/>
        </w:rPr>
        <w:t xml:space="preserve">a última ronda empresarial de esta edición se celebrará en la </w:t>
      </w:r>
      <w:hyperlink r:id="rId15" w:history="1">
        <w:r>
          <w:rPr>
            <w:rStyle w:val="Hipervnculo"/>
            <w:rFonts w:ascii="Tahoma" w:hAnsi="Tahoma" w:cs="Tahoma"/>
            <w:sz w:val="22"/>
            <w:szCs w:val="22"/>
          </w:rPr>
          <w:t>s</w:t>
        </w:r>
        <w:r w:rsidRPr="00BC7CCF">
          <w:rPr>
            <w:rStyle w:val="Hipervnculo"/>
            <w:rFonts w:ascii="Tahoma" w:hAnsi="Tahoma" w:cs="Tahoma"/>
            <w:sz w:val="22"/>
            <w:szCs w:val="22"/>
          </w:rPr>
          <w:t>ede de FEDA en Albacete</w:t>
        </w:r>
      </w:hyperlink>
      <w:r w:rsidRPr="00BC7CCF">
        <w:rPr>
          <w:rFonts w:ascii="Tahoma" w:hAnsi="Tahoma" w:cs="Tahoma"/>
          <w:color w:val="000000" w:themeColor="text1"/>
          <w:sz w:val="22"/>
          <w:szCs w:val="22"/>
        </w:rPr>
        <w:t xml:space="preserve">, </w:t>
      </w:r>
      <w:r>
        <w:rPr>
          <w:rFonts w:ascii="Tahoma" w:hAnsi="Tahoma" w:cs="Tahoma"/>
          <w:color w:val="000000" w:themeColor="text1"/>
          <w:sz w:val="22"/>
          <w:szCs w:val="22"/>
        </w:rPr>
        <w:t xml:space="preserve">con </w:t>
      </w:r>
      <w:r w:rsidRPr="00E50DE8">
        <w:rPr>
          <w:rFonts w:ascii="Tahoma" w:hAnsi="Tahoma" w:cs="Tahoma"/>
          <w:b/>
          <w:bCs/>
          <w:color w:val="000000" w:themeColor="text1"/>
          <w:sz w:val="22"/>
          <w:szCs w:val="22"/>
        </w:rPr>
        <w:t>Globalcaja</w:t>
      </w:r>
      <w:r>
        <w:rPr>
          <w:rFonts w:ascii="Tahoma" w:hAnsi="Tahoma" w:cs="Tahoma"/>
          <w:color w:val="000000" w:themeColor="text1"/>
          <w:sz w:val="22"/>
          <w:szCs w:val="22"/>
        </w:rPr>
        <w:t xml:space="preserve">, </w:t>
      </w:r>
      <w:r w:rsidRPr="00BC7CCF">
        <w:rPr>
          <w:rFonts w:ascii="Tahoma" w:hAnsi="Tahoma" w:cs="Tahoma"/>
          <w:color w:val="000000" w:themeColor="text1"/>
          <w:sz w:val="22"/>
          <w:szCs w:val="22"/>
        </w:rPr>
        <w:t xml:space="preserve">de la mano de la </w:t>
      </w:r>
      <w:hyperlink r:id="rId16" w:history="1">
        <w:r w:rsidRPr="00BC7CCF">
          <w:rPr>
            <w:rStyle w:val="Hipervnculo"/>
            <w:rFonts w:ascii="Tahoma" w:hAnsi="Tahoma" w:cs="Tahoma"/>
            <w:sz w:val="22"/>
            <w:szCs w:val="22"/>
          </w:rPr>
          <w:t>Cámara de Comercio Polaco-Española</w:t>
        </w:r>
      </w:hyperlink>
      <w:r w:rsidRPr="00BC7CCF">
        <w:rPr>
          <w:rFonts w:ascii="Tahoma" w:hAnsi="Tahoma" w:cs="Tahoma"/>
          <w:color w:val="000000" w:themeColor="text1"/>
          <w:sz w:val="22"/>
          <w:szCs w:val="22"/>
        </w:rPr>
        <w:t xml:space="preserve"> y tiene por objetivo mostrar herramientas de negociación clave así como las </w:t>
      </w:r>
      <w:r w:rsidRPr="00BC7CCF">
        <w:rPr>
          <w:rFonts w:ascii="Tahoma" w:hAnsi="Tahoma" w:cs="Tahoma"/>
          <w:b/>
          <w:color w:val="000000" w:themeColor="text1"/>
          <w:sz w:val="22"/>
          <w:szCs w:val="22"/>
        </w:rPr>
        <w:t>oportunidades comerciales que Polonia</w:t>
      </w:r>
      <w:r w:rsidRPr="00BC7CCF">
        <w:rPr>
          <w:rFonts w:ascii="Tahoma" w:hAnsi="Tahoma" w:cs="Tahoma"/>
          <w:color w:val="000000" w:themeColor="text1"/>
          <w:sz w:val="22"/>
          <w:szCs w:val="22"/>
        </w:rPr>
        <w:t xml:space="preserve"> ofrece a las empresas del tejido empresarial de la región; ya que hay prevista una misión comercial multisectorial regional a este país vecino a finales de octubre, la cual estará coordinada por FEDA.  </w:t>
      </w:r>
    </w:p>
    <w:p w14:paraId="5D37D2B2" w14:textId="77777777" w:rsidR="004E5382" w:rsidRDefault="004E5382" w:rsidP="004E5382">
      <w:pPr>
        <w:rPr>
          <w:rFonts w:ascii="Tahoma" w:hAnsi="Tahoma" w:cs="Tahoma"/>
          <w:sz w:val="22"/>
          <w:szCs w:val="22"/>
        </w:rPr>
      </w:pPr>
      <w:r w:rsidRPr="00A773BB">
        <w:rPr>
          <w:rFonts w:ascii="Tahoma" w:hAnsi="Tahoma" w:cs="Tahoma"/>
          <w:sz w:val="22"/>
          <w:szCs w:val="22"/>
        </w:rPr>
        <w:t xml:space="preserve">El acuerdo también contempla el trabajo conjunto de la </w:t>
      </w:r>
      <w:hyperlink r:id="rId17" w:history="1">
        <w:r w:rsidRPr="003B70F9">
          <w:rPr>
            <w:rStyle w:val="Hipervnculo"/>
            <w:rFonts w:ascii="Tahoma" w:hAnsi="Tahoma" w:cs="Tahoma"/>
            <w:sz w:val="22"/>
            <w:szCs w:val="22"/>
          </w:rPr>
          <w:t>Asociación de Importadores y Exportadores de Albacete (ADIEX)</w:t>
        </w:r>
      </w:hyperlink>
      <w:r w:rsidRPr="00A773BB">
        <w:rPr>
          <w:rFonts w:ascii="Tahoma" w:hAnsi="Tahoma" w:cs="Tahoma"/>
          <w:sz w:val="22"/>
          <w:szCs w:val="22"/>
        </w:rPr>
        <w:t xml:space="preserve">, con el programa de Globalcaja ‘Exporta Tu Valor’, con el propósito de fomentar e incentivar la expansión internacional de las empresas de Albacete. </w:t>
      </w:r>
    </w:p>
    <w:p w14:paraId="17519137" w14:textId="77777777" w:rsidR="00354B60" w:rsidRDefault="00354B60" w:rsidP="004E5382">
      <w:pPr>
        <w:rPr>
          <w:rFonts w:ascii="Tahoma" w:hAnsi="Tahoma" w:cs="Tahoma"/>
          <w:sz w:val="22"/>
          <w:szCs w:val="22"/>
        </w:rPr>
      </w:pPr>
    </w:p>
    <w:p w14:paraId="44A5F405" w14:textId="2EC809B3" w:rsidR="00354B60" w:rsidRPr="00A773BB" w:rsidRDefault="00354B60" w:rsidP="004E5382">
      <w:pPr>
        <w:rPr>
          <w:rFonts w:ascii="Tahoma" w:hAnsi="Tahoma" w:cs="Tahoma"/>
          <w:sz w:val="22"/>
          <w:szCs w:val="22"/>
        </w:rPr>
      </w:pPr>
      <w:r>
        <w:rPr>
          <w:rFonts w:ascii="Tahoma" w:hAnsi="Tahoma" w:cs="Tahoma"/>
          <w:sz w:val="22"/>
          <w:szCs w:val="22"/>
        </w:rPr>
        <w:t>Por último, pero como primera fecha inmediata en el calendario, es la colaboración de Globalcaja, como en convocatorias anteriores, en la 47ª Asamblea General de FEDA, que este año se celebrará el próximo día 17 de abril.</w:t>
      </w:r>
    </w:p>
    <w:p w14:paraId="419AF020" w14:textId="77777777" w:rsidR="004E5382" w:rsidRPr="00A773BB" w:rsidRDefault="004E5382" w:rsidP="004E5382">
      <w:pPr>
        <w:rPr>
          <w:rFonts w:ascii="Tahoma" w:hAnsi="Tahoma" w:cs="Tahoma"/>
          <w:sz w:val="22"/>
          <w:szCs w:val="22"/>
        </w:rPr>
      </w:pPr>
    </w:p>
    <w:p w14:paraId="2E98E957" w14:textId="77777777" w:rsidR="00C93A71" w:rsidRPr="004D0508" w:rsidRDefault="00C93A71" w:rsidP="00C93A71">
      <w:pPr>
        <w:jc w:val="right"/>
        <w:rPr>
          <w:rFonts w:ascii="Tahoma" w:hAnsi="Tahoma" w:cs="Tahoma"/>
          <w:bCs/>
          <w:szCs w:val="24"/>
        </w:rPr>
      </w:pPr>
    </w:p>
    <w:sectPr w:rsidR="00C93A71" w:rsidRPr="004D0508" w:rsidSect="00702694">
      <w:headerReference w:type="default" r:id="rId18"/>
      <w:footerReference w:type="even" r:id="rId19"/>
      <w:footerReference w:type="default" r:id="rId20"/>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Mincho"/>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14" name="Imagen 14"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5" name="Imagen 1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DC7DCE"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2203B7"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6" name="Imagen 1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17" name="Imagen 17"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DC7DCE"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2203B7"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DC7DCE"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2203B7"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01CB7" w14:textId="720CB223" w:rsidR="00A90926" w:rsidRPr="00262D35" w:rsidRDefault="00262D35" w:rsidP="0034347B">
    <w:pPr>
      <w:pStyle w:val="Encabezado"/>
      <w:jc w:val="right"/>
      <w:rPr>
        <w:rFonts w:ascii="Tahoma" w:hAnsi="Tahoma"/>
        <w:sz w:val="22"/>
        <w:szCs w:val="22"/>
      </w:rPr>
    </w:pPr>
    <w:r w:rsidRPr="00262D35">
      <w:rPr>
        <w:noProof/>
        <w:sz w:val="22"/>
        <w:szCs w:val="22"/>
      </w:rPr>
      <w:drawing>
        <wp:anchor distT="0" distB="0" distL="114300" distR="114300" simplePos="0" relativeHeight="251662848" behindDoc="0" locked="0" layoutInCell="1" allowOverlap="1" wp14:anchorId="23414010" wp14:editId="161DD4AF">
          <wp:simplePos x="0" y="0"/>
          <wp:positionH relativeFrom="column">
            <wp:posOffset>1375410</wp:posOffset>
          </wp:positionH>
          <wp:positionV relativeFrom="paragraph">
            <wp:posOffset>9525</wp:posOffset>
          </wp:positionV>
          <wp:extent cx="1343025" cy="561975"/>
          <wp:effectExtent l="0" t="0" r="9525" b="9525"/>
          <wp:wrapThrough wrapText="bothSides">
            <wp:wrapPolygon edited="0">
              <wp:start x="0" y="0"/>
              <wp:lineTo x="0" y="21234"/>
              <wp:lineTo x="21447" y="21234"/>
              <wp:lineTo x="21447" y="0"/>
              <wp:lineTo x="0" y="0"/>
            </wp:wrapPolygon>
          </wp:wrapThrough>
          <wp:docPr id="982585433"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585433" name="Imagen 1" descr="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302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F7AA3" w:rsidRPr="00262D35">
      <w:rPr>
        <w:noProof/>
        <w:sz w:val="22"/>
        <w:szCs w:val="22"/>
        <w:lang w:val="es-ES"/>
      </w:rPr>
      <w:drawing>
        <wp:anchor distT="0" distB="0" distL="114300" distR="114300" simplePos="0" relativeHeight="251660800" behindDoc="1" locked="0" layoutInCell="1" allowOverlap="1" wp14:anchorId="7F980965" wp14:editId="06AD5757">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3" name="Imagen 13"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0DD18F97" w:rsidR="00A90926" w:rsidRPr="00262D35" w:rsidRDefault="00A90926" w:rsidP="0034347B">
    <w:pPr>
      <w:pStyle w:val="Encabezado"/>
      <w:jc w:val="right"/>
      <w:rPr>
        <w:rFonts w:ascii="Tahoma" w:hAnsi="Tahoma"/>
        <w:sz w:val="22"/>
        <w:szCs w:val="22"/>
      </w:rPr>
    </w:pPr>
    <w:r w:rsidRPr="00262D35">
      <w:rPr>
        <w:rFonts w:ascii="Tahoma" w:hAnsi="Tahoma"/>
        <w:sz w:val="22"/>
        <w:szCs w:val="22"/>
      </w:rPr>
      <w:t>e-mail: comunicacion@feda.es</w:t>
    </w:r>
  </w:p>
  <w:p w14:paraId="161BD349"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448556D6" w14:textId="676A3F56"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6D41206"/>
    <w:multiLevelType w:val="hybridMultilevel"/>
    <w:tmpl w:val="173EEB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15:restartNumberingAfterBreak="0">
    <w:nsid w:val="0AB4530C"/>
    <w:multiLevelType w:val="hybridMultilevel"/>
    <w:tmpl w:val="7D0CD6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DC45C25"/>
    <w:multiLevelType w:val="hybridMultilevel"/>
    <w:tmpl w:val="A5B480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71649B7"/>
    <w:multiLevelType w:val="hybridMultilevel"/>
    <w:tmpl w:val="DCD6BFCC"/>
    <w:lvl w:ilvl="0" w:tplc="7A2C8E06">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173F0C9F"/>
    <w:multiLevelType w:val="hybridMultilevel"/>
    <w:tmpl w:val="DEB6AB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96D1EAB"/>
    <w:multiLevelType w:val="hybridMultilevel"/>
    <w:tmpl w:val="CCDEEB12"/>
    <w:lvl w:ilvl="0" w:tplc="3EA6D35A">
      <w:numFmt w:val="bullet"/>
      <w:lvlText w:val="-"/>
      <w:lvlJc w:val="left"/>
      <w:pPr>
        <w:ind w:left="720" w:hanging="360"/>
      </w:pPr>
      <w:rPr>
        <w:rFonts w:ascii="Tahoma" w:eastAsia="Calibri"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1BB05996"/>
    <w:multiLevelType w:val="hybridMultilevel"/>
    <w:tmpl w:val="0B6A50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C2B5504"/>
    <w:multiLevelType w:val="hybridMultilevel"/>
    <w:tmpl w:val="8048CCC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5" w15:restartNumberingAfterBreak="0">
    <w:nsid w:val="1F7806C9"/>
    <w:multiLevelType w:val="hybridMultilevel"/>
    <w:tmpl w:val="D9BEF1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020227E"/>
    <w:multiLevelType w:val="multilevel"/>
    <w:tmpl w:val="061EF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1672746"/>
    <w:multiLevelType w:val="hybridMultilevel"/>
    <w:tmpl w:val="D18C6B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71E68AE"/>
    <w:multiLevelType w:val="hybridMultilevel"/>
    <w:tmpl w:val="2C9832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2D5A028A"/>
    <w:multiLevelType w:val="hybridMultilevel"/>
    <w:tmpl w:val="41A4A0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A004B63"/>
    <w:multiLevelType w:val="hybridMultilevel"/>
    <w:tmpl w:val="BB4CF850"/>
    <w:lvl w:ilvl="0" w:tplc="E2AA4F12">
      <w:start w:val="1"/>
      <w:numFmt w:val="decimal"/>
      <w:lvlText w:val="%1."/>
      <w:lvlJc w:val="left"/>
      <w:pPr>
        <w:ind w:left="1080" w:hanging="360"/>
      </w:pPr>
      <w:rPr>
        <w:rFonts w:hint="default"/>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1" w15:restartNumberingAfterBreak="0">
    <w:nsid w:val="3C291E84"/>
    <w:multiLevelType w:val="hybridMultilevel"/>
    <w:tmpl w:val="E0EC76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E7F4584"/>
    <w:multiLevelType w:val="hybridMultilevel"/>
    <w:tmpl w:val="59D0F0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EAB65FA"/>
    <w:multiLevelType w:val="hybridMultilevel"/>
    <w:tmpl w:val="557AC418"/>
    <w:lvl w:ilvl="0" w:tplc="E654CEE2">
      <w:numFmt w:val="bullet"/>
      <w:lvlText w:val="-"/>
      <w:lvlJc w:val="left"/>
      <w:pPr>
        <w:ind w:left="720" w:hanging="360"/>
      </w:pPr>
      <w:rPr>
        <w:rFonts w:ascii="Tahoma" w:eastAsiaTheme="minorHAnsi"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1534F05"/>
    <w:multiLevelType w:val="hybridMultilevel"/>
    <w:tmpl w:val="5E3A2B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364145C"/>
    <w:multiLevelType w:val="hybridMultilevel"/>
    <w:tmpl w:val="7BC6E1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8C85E58"/>
    <w:multiLevelType w:val="hybridMultilevel"/>
    <w:tmpl w:val="3FB0B1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CFA52C8"/>
    <w:multiLevelType w:val="hybridMultilevel"/>
    <w:tmpl w:val="302435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FB511CC"/>
    <w:multiLevelType w:val="hybridMultilevel"/>
    <w:tmpl w:val="92CAD3B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9" w15:restartNumberingAfterBreak="0">
    <w:nsid w:val="5051002B"/>
    <w:multiLevelType w:val="multilevel"/>
    <w:tmpl w:val="48322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5196E89"/>
    <w:multiLevelType w:val="hybridMultilevel"/>
    <w:tmpl w:val="ABF8E7C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1" w15:restartNumberingAfterBreak="0">
    <w:nsid w:val="55D05088"/>
    <w:multiLevelType w:val="hybridMultilevel"/>
    <w:tmpl w:val="5BA676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71511B7"/>
    <w:multiLevelType w:val="hybridMultilevel"/>
    <w:tmpl w:val="988810D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3" w15:restartNumberingAfterBreak="0">
    <w:nsid w:val="5AF70D15"/>
    <w:multiLevelType w:val="hybridMultilevel"/>
    <w:tmpl w:val="BA5857A2"/>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34" w15:restartNumberingAfterBreak="0">
    <w:nsid w:val="5CD50E9B"/>
    <w:multiLevelType w:val="hybridMultilevel"/>
    <w:tmpl w:val="EF1A71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5E1D5B94"/>
    <w:multiLevelType w:val="hybridMultilevel"/>
    <w:tmpl w:val="057249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34A67A7"/>
    <w:multiLevelType w:val="hybridMultilevel"/>
    <w:tmpl w:val="2B223A0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7" w15:restartNumberingAfterBreak="0">
    <w:nsid w:val="68567877"/>
    <w:multiLevelType w:val="hybridMultilevel"/>
    <w:tmpl w:val="9BF6C53A"/>
    <w:lvl w:ilvl="0" w:tplc="335808B6">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9" w15:restartNumberingAfterBreak="0">
    <w:nsid w:val="6C246F75"/>
    <w:multiLevelType w:val="hybridMultilevel"/>
    <w:tmpl w:val="525E339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0" w15:restartNumberingAfterBreak="0">
    <w:nsid w:val="6F544357"/>
    <w:multiLevelType w:val="hybridMultilevel"/>
    <w:tmpl w:val="5038C6B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1" w15:restartNumberingAfterBreak="0">
    <w:nsid w:val="70E313BE"/>
    <w:multiLevelType w:val="hybridMultilevel"/>
    <w:tmpl w:val="448ADAA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2" w15:restartNumberingAfterBreak="0">
    <w:nsid w:val="71854C93"/>
    <w:multiLevelType w:val="hybridMultilevel"/>
    <w:tmpl w:val="EE7A4E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68D56F0"/>
    <w:multiLevelType w:val="hybridMultilevel"/>
    <w:tmpl w:val="0220F0C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4" w15:restartNumberingAfterBreak="0">
    <w:nsid w:val="7CD968D6"/>
    <w:multiLevelType w:val="hybridMultilevel"/>
    <w:tmpl w:val="746E00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7EE5721C"/>
    <w:multiLevelType w:val="hybridMultilevel"/>
    <w:tmpl w:val="7CCE62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F343B38"/>
    <w:multiLevelType w:val="hybridMultilevel"/>
    <w:tmpl w:val="0D828EF6"/>
    <w:lvl w:ilvl="0" w:tplc="E6C6CB48">
      <w:start w:val="17"/>
      <w:numFmt w:val="bullet"/>
      <w:lvlText w:val="-"/>
      <w:lvlJc w:val="left"/>
      <w:pPr>
        <w:ind w:left="720" w:hanging="360"/>
      </w:pPr>
      <w:rPr>
        <w:rFonts w:ascii="Arial" w:eastAsiaTheme="minorHAns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192307145">
    <w:abstractNumId w:val="38"/>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558056186">
    <w:abstractNumId w:val="36"/>
  </w:num>
  <w:num w:numId="7" w16cid:durableId="94718398">
    <w:abstractNumId w:val="29"/>
  </w:num>
  <w:num w:numId="8" w16cid:durableId="39020734">
    <w:abstractNumId w:val="16"/>
  </w:num>
  <w:num w:numId="9" w16cid:durableId="272857923">
    <w:abstractNumId w:val="26"/>
  </w:num>
  <w:num w:numId="10" w16cid:durableId="1113865781">
    <w:abstractNumId w:val="30"/>
  </w:num>
  <w:num w:numId="11" w16cid:durableId="173803944">
    <w:abstractNumId w:val="12"/>
  </w:num>
  <w:num w:numId="12" w16cid:durableId="124128548">
    <w:abstractNumId w:val="10"/>
  </w:num>
  <w:num w:numId="13" w16cid:durableId="1302922694">
    <w:abstractNumId w:val="39"/>
  </w:num>
  <w:num w:numId="14" w16cid:durableId="1686007975">
    <w:abstractNumId w:val="8"/>
  </w:num>
  <w:num w:numId="15" w16cid:durableId="952202115">
    <w:abstractNumId w:val="46"/>
  </w:num>
  <w:num w:numId="16" w16cid:durableId="646975843">
    <w:abstractNumId w:val="37"/>
  </w:num>
  <w:num w:numId="17" w16cid:durableId="453064724">
    <w:abstractNumId w:val="22"/>
  </w:num>
  <w:num w:numId="18" w16cid:durableId="164489034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1531507">
    <w:abstractNumId w:val="43"/>
  </w:num>
  <w:num w:numId="20" w16cid:durableId="889194308">
    <w:abstractNumId w:val="35"/>
  </w:num>
  <w:num w:numId="21" w16cid:durableId="999969029">
    <w:abstractNumId w:val="40"/>
  </w:num>
  <w:num w:numId="22" w16cid:durableId="1715083673">
    <w:abstractNumId w:val="25"/>
  </w:num>
  <w:num w:numId="23" w16cid:durableId="245967200">
    <w:abstractNumId w:val="9"/>
  </w:num>
  <w:num w:numId="24" w16cid:durableId="182017765">
    <w:abstractNumId w:val="20"/>
  </w:num>
  <w:num w:numId="25" w16cid:durableId="920065433">
    <w:abstractNumId w:val="27"/>
  </w:num>
  <w:num w:numId="26" w16cid:durableId="407583471">
    <w:abstractNumId w:val="11"/>
  </w:num>
  <w:num w:numId="27" w16cid:durableId="2061050068">
    <w:abstractNumId w:val="32"/>
  </w:num>
  <w:num w:numId="28" w16cid:durableId="1881429648">
    <w:abstractNumId w:val="17"/>
  </w:num>
  <w:num w:numId="29" w16cid:durableId="1144850428">
    <w:abstractNumId w:val="42"/>
  </w:num>
  <w:num w:numId="30" w16cid:durableId="884803084">
    <w:abstractNumId w:val="21"/>
  </w:num>
  <w:num w:numId="31" w16cid:durableId="1788967027">
    <w:abstractNumId w:val="44"/>
  </w:num>
  <w:num w:numId="32" w16cid:durableId="927077218">
    <w:abstractNumId w:val="34"/>
  </w:num>
  <w:num w:numId="33" w16cid:durableId="240063491">
    <w:abstractNumId w:val="41"/>
  </w:num>
  <w:num w:numId="34" w16cid:durableId="1228615107">
    <w:abstractNumId w:val="31"/>
  </w:num>
  <w:num w:numId="35" w16cid:durableId="2119448554">
    <w:abstractNumId w:val="7"/>
  </w:num>
  <w:num w:numId="36" w16cid:durableId="2082290657">
    <w:abstractNumId w:val="28"/>
  </w:num>
  <w:num w:numId="37" w16cid:durableId="374433812">
    <w:abstractNumId w:val="15"/>
  </w:num>
  <w:num w:numId="38" w16cid:durableId="306323587">
    <w:abstractNumId w:val="45"/>
  </w:num>
  <w:num w:numId="39" w16cid:durableId="866870334">
    <w:abstractNumId w:val="23"/>
  </w:num>
  <w:num w:numId="40" w16cid:durableId="285355103">
    <w:abstractNumId w:val="18"/>
  </w:num>
  <w:num w:numId="41" w16cid:durableId="1383748491">
    <w:abstractNumId w:val="24"/>
  </w:num>
  <w:num w:numId="42" w16cid:durableId="1341349804">
    <w:abstractNumId w:val="13"/>
  </w:num>
  <w:num w:numId="43" w16cid:durableId="519583435">
    <w:abstractNumId w:val="19"/>
  </w:num>
  <w:num w:numId="44" w16cid:durableId="903486139">
    <w:abstractNumId w:val="14"/>
  </w:num>
  <w:num w:numId="45" w16cid:durableId="935555842">
    <w:abstractNumId w:val="3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3961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DCC"/>
    <w:rsid w:val="00014205"/>
    <w:rsid w:val="00014453"/>
    <w:rsid w:val="00014B88"/>
    <w:rsid w:val="00014FF4"/>
    <w:rsid w:val="0001525E"/>
    <w:rsid w:val="00016093"/>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4ECC"/>
    <w:rsid w:val="000B57D8"/>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124"/>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66F"/>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2C04"/>
    <w:rsid w:val="002E4910"/>
    <w:rsid w:val="002E4CAD"/>
    <w:rsid w:val="002E5481"/>
    <w:rsid w:val="002E58D3"/>
    <w:rsid w:val="002E61DF"/>
    <w:rsid w:val="002E66F6"/>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49E6"/>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6C"/>
    <w:rsid w:val="00427E1B"/>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77F"/>
    <w:rsid w:val="004E3F26"/>
    <w:rsid w:val="004E44AF"/>
    <w:rsid w:val="004E4600"/>
    <w:rsid w:val="004E49A4"/>
    <w:rsid w:val="004E4A56"/>
    <w:rsid w:val="004E5382"/>
    <w:rsid w:val="004E53E0"/>
    <w:rsid w:val="004E567F"/>
    <w:rsid w:val="004E6133"/>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04A"/>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597"/>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0BB"/>
    <w:rsid w:val="00744C87"/>
    <w:rsid w:val="00745131"/>
    <w:rsid w:val="0074530C"/>
    <w:rsid w:val="00745A50"/>
    <w:rsid w:val="00745CD6"/>
    <w:rsid w:val="00747177"/>
    <w:rsid w:val="007473E5"/>
    <w:rsid w:val="007474C4"/>
    <w:rsid w:val="00747E6A"/>
    <w:rsid w:val="00747EC6"/>
    <w:rsid w:val="0075014F"/>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96"/>
    <w:rsid w:val="007754F6"/>
    <w:rsid w:val="007755CF"/>
    <w:rsid w:val="007756D3"/>
    <w:rsid w:val="00775BA8"/>
    <w:rsid w:val="00777D49"/>
    <w:rsid w:val="00777D9D"/>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953"/>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028"/>
    <w:rsid w:val="00974570"/>
    <w:rsid w:val="0097477A"/>
    <w:rsid w:val="009771B2"/>
    <w:rsid w:val="0097774D"/>
    <w:rsid w:val="009777D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5ED1"/>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359"/>
    <w:rsid w:val="00A156B1"/>
    <w:rsid w:val="00A16E05"/>
    <w:rsid w:val="00A16FCC"/>
    <w:rsid w:val="00A17077"/>
    <w:rsid w:val="00A17247"/>
    <w:rsid w:val="00A178CC"/>
    <w:rsid w:val="00A21304"/>
    <w:rsid w:val="00A2269D"/>
    <w:rsid w:val="00A22C3C"/>
    <w:rsid w:val="00A23006"/>
    <w:rsid w:val="00A2353D"/>
    <w:rsid w:val="00A23CA0"/>
    <w:rsid w:val="00A243DE"/>
    <w:rsid w:val="00A24D73"/>
    <w:rsid w:val="00A253DA"/>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C5E75"/>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07D52"/>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3364"/>
    <w:rsid w:val="00CF454A"/>
    <w:rsid w:val="00CF5C64"/>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A49"/>
    <w:rsid w:val="00D50EEC"/>
    <w:rsid w:val="00D51CBD"/>
    <w:rsid w:val="00D529C5"/>
    <w:rsid w:val="00D54020"/>
    <w:rsid w:val="00D54497"/>
    <w:rsid w:val="00D54574"/>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930"/>
    <w:rsid w:val="00DC1ED5"/>
    <w:rsid w:val="00DC272B"/>
    <w:rsid w:val="00DC306D"/>
    <w:rsid w:val="00DC35FE"/>
    <w:rsid w:val="00DC364A"/>
    <w:rsid w:val="00DC4A66"/>
    <w:rsid w:val="00DC51B8"/>
    <w:rsid w:val="00DC53F2"/>
    <w:rsid w:val="00DC6EA5"/>
    <w:rsid w:val="00DC7777"/>
    <w:rsid w:val="00DC7DCE"/>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C91"/>
    <w:rsid w:val="00E00352"/>
    <w:rsid w:val="00E021E9"/>
    <w:rsid w:val="00E0267A"/>
    <w:rsid w:val="00E02724"/>
    <w:rsid w:val="00E02AC7"/>
    <w:rsid w:val="00E02ACE"/>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62AD"/>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9617"/>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lobalcaja.es/es/empresas" TargetMode="External"/><Relationship Id="rId13" Type="http://schemas.openxmlformats.org/officeDocument/2006/relationships/hyperlink" Target="https://www.feda.es/in-feda-2024/propiedad-intelectual"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feda.es/in-feda-2024/blockchain" TargetMode="External"/><Relationship Id="rId17" Type="http://schemas.openxmlformats.org/officeDocument/2006/relationships/hyperlink" Target="https://www.adiex.es/es/" TargetMode="External"/><Relationship Id="rId2" Type="http://schemas.openxmlformats.org/officeDocument/2006/relationships/numbering" Target="numbering.xml"/><Relationship Id="rId16" Type="http://schemas.openxmlformats.org/officeDocument/2006/relationships/hyperlink" Target="https://www.phig.pl/p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in-feda-2024/ai-driven-business" TargetMode="External"/><Relationship Id="rId5" Type="http://schemas.openxmlformats.org/officeDocument/2006/relationships/webSettings" Target="webSettings.xml"/><Relationship Id="rId15" Type="http://schemas.openxmlformats.org/officeDocument/2006/relationships/hyperlink" Target="https://www.feda.es/feda/nuestro-equipo/4-sede-central-albacete" TargetMode="External"/><Relationship Id="rId10" Type="http://schemas.openxmlformats.org/officeDocument/2006/relationships/hyperlink" Target="https://www.feda.es/feda/asociaciones-junta-directiva/item/7662-federacion-de-comercio-de-albacete"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hyperlink" Target="https://www.feda.es/in-feda-2024/oportunidades-de-mercado-y-herramientas-de-negociacion"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6.png"/><Relationship Id="rId5" Type="http://schemas.openxmlformats.org/officeDocument/2006/relationships/image" Target="media/image5.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661</Words>
  <Characters>4301</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4953</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F O</cp:lastModifiedBy>
  <cp:revision>3</cp:revision>
  <cp:lastPrinted>2021-03-16T11:17:00Z</cp:lastPrinted>
  <dcterms:created xsi:type="dcterms:W3CDTF">2024-03-11T09:42:00Z</dcterms:created>
  <dcterms:modified xsi:type="dcterms:W3CDTF">2024-03-11T10:22:00Z</dcterms:modified>
</cp:coreProperties>
</file>