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8DB3C" w14:textId="77777777" w:rsidR="00C93A71" w:rsidRDefault="00C93A71" w:rsidP="00C93A71">
      <w:pPr>
        <w:jc w:val="right"/>
        <w:rPr>
          <w:rFonts w:ascii="Tahoma" w:hAnsi="Tahoma" w:cs="Tahoma"/>
          <w:bCs/>
          <w:szCs w:val="24"/>
        </w:rPr>
      </w:pPr>
    </w:p>
    <w:p w14:paraId="6A73F84F" w14:textId="77777777" w:rsidR="00BC3563" w:rsidRDefault="00BC3563" w:rsidP="00EC227E">
      <w:pPr>
        <w:jc w:val="right"/>
        <w:rPr>
          <w:rFonts w:ascii="Tahoma" w:hAnsi="Tahoma" w:cs="Tahoma"/>
          <w:bCs/>
          <w:sz w:val="22"/>
          <w:szCs w:val="22"/>
        </w:rPr>
      </w:pPr>
    </w:p>
    <w:p w14:paraId="0538DC85" w14:textId="6D7C6937" w:rsidR="00FC2F66" w:rsidRDefault="00FC2F66" w:rsidP="00FC2F66">
      <w:pPr>
        <w:pStyle w:val="Textoindependiente"/>
        <w:tabs>
          <w:tab w:val="left" w:pos="420"/>
          <w:tab w:val="left" w:pos="2745"/>
        </w:tabs>
        <w:jc w:val="right"/>
        <w:rPr>
          <w:rFonts w:ascii="Tahoma" w:hAnsi="Tahoma" w:cs="Tahoma"/>
          <w:b w:val="0"/>
          <w:bCs/>
          <w:sz w:val="22"/>
          <w:szCs w:val="22"/>
        </w:rPr>
      </w:pPr>
      <w:r w:rsidRPr="007D71D5">
        <w:rPr>
          <w:rFonts w:ascii="Tahoma" w:hAnsi="Tahoma" w:cs="Tahoma"/>
          <w:b w:val="0"/>
          <w:bCs/>
          <w:sz w:val="22"/>
          <w:szCs w:val="22"/>
        </w:rPr>
        <w:t xml:space="preserve">Albacete, </w:t>
      </w:r>
      <w:r w:rsidR="00886E75">
        <w:rPr>
          <w:rFonts w:ascii="Tahoma" w:hAnsi="Tahoma" w:cs="Tahoma"/>
          <w:b w:val="0"/>
          <w:bCs/>
          <w:sz w:val="22"/>
          <w:szCs w:val="22"/>
        </w:rPr>
        <w:t>2</w:t>
      </w:r>
      <w:r w:rsidR="00F03F8F">
        <w:rPr>
          <w:rFonts w:ascii="Tahoma" w:hAnsi="Tahoma" w:cs="Tahoma"/>
          <w:b w:val="0"/>
          <w:bCs/>
          <w:sz w:val="22"/>
          <w:szCs w:val="22"/>
        </w:rPr>
        <w:t>5</w:t>
      </w:r>
      <w:r w:rsidRPr="007D71D5">
        <w:rPr>
          <w:rFonts w:ascii="Tahoma" w:hAnsi="Tahoma" w:cs="Tahoma"/>
          <w:b w:val="0"/>
          <w:bCs/>
          <w:sz w:val="22"/>
          <w:szCs w:val="22"/>
        </w:rPr>
        <w:t xml:space="preserve"> de abril de 202</w:t>
      </w:r>
      <w:r>
        <w:rPr>
          <w:rFonts w:ascii="Tahoma" w:hAnsi="Tahoma" w:cs="Tahoma"/>
          <w:b w:val="0"/>
          <w:bCs/>
          <w:sz w:val="22"/>
          <w:szCs w:val="22"/>
        </w:rPr>
        <w:t>4</w:t>
      </w:r>
    </w:p>
    <w:p w14:paraId="7188499F" w14:textId="77777777" w:rsidR="00F03F8F" w:rsidRDefault="00F03F8F" w:rsidP="00FC2F66">
      <w:pPr>
        <w:pStyle w:val="Textoindependiente"/>
        <w:tabs>
          <w:tab w:val="left" w:pos="420"/>
          <w:tab w:val="left" w:pos="2745"/>
        </w:tabs>
        <w:jc w:val="right"/>
        <w:rPr>
          <w:rFonts w:ascii="Tahoma" w:hAnsi="Tahoma" w:cs="Tahoma"/>
          <w:b w:val="0"/>
          <w:bCs/>
          <w:sz w:val="22"/>
          <w:szCs w:val="22"/>
        </w:rPr>
      </w:pPr>
    </w:p>
    <w:p w14:paraId="26EAA5F4" w14:textId="77777777" w:rsidR="00F03F8F" w:rsidRDefault="00F03F8F" w:rsidP="00FC2F66">
      <w:pPr>
        <w:pStyle w:val="Textoindependiente"/>
        <w:tabs>
          <w:tab w:val="left" w:pos="420"/>
          <w:tab w:val="left" w:pos="2745"/>
        </w:tabs>
        <w:jc w:val="right"/>
        <w:rPr>
          <w:rFonts w:ascii="Tahoma" w:hAnsi="Tahoma" w:cs="Tahoma"/>
          <w:b w:val="0"/>
          <w:bCs/>
          <w:sz w:val="22"/>
          <w:szCs w:val="22"/>
        </w:rPr>
      </w:pPr>
    </w:p>
    <w:p w14:paraId="71A75D92" w14:textId="0C81D1E4" w:rsidR="00886E75" w:rsidRDefault="00F03F8F" w:rsidP="00F03F8F">
      <w:pPr>
        <w:pStyle w:val="Textoindependiente"/>
        <w:tabs>
          <w:tab w:val="left" w:pos="420"/>
          <w:tab w:val="left" w:pos="2745"/>
        </w:tabs>
        <w:rPr>
          <w:rFonts w:ascii="Tahoma" w:hAnsi="Tahoma" w:cs="Tahoma"/>
          <w:sz w:val="32"/>
          <w:szCs w:val="32"/>
        </w:rPr>
      </w:pPr>
      <w:r>
        <w:rPr>
          <w:rFonts w:ascii="Tahoma" w:hAnsi="Tahoma" w:cs="Tahoma"/>
          <w:sz w:val="32"/>
          <w:szCs w:val="32"/>
        </w:rPr>
        <w:t>S</w:t>
      </w:r>
      <w:r w:rsidRPr="00F03F8F">
        <w:rPr>
          <w:rFonts w:ascii="Tahoma" w:hAnsi="Tahoma" w:cs="Tahoma"/>
          <w:sz w:val="32"/>
          <w:szCs w:val="32"/>
        </w:rPr>
        <w:t>ueño, entusiasmo, talento y perseverancia</w:t>
      </w:r>
      <w:r>
        <w:rPr>
          <w:rFonts w:ascii="Tahoma" w:hAnsi="Tahoma" w:cs="Tahoma"/>
          <w:sz w:val="32"/>
          <w:szCs w:val="32"/>
        </w:rPr>
        <w:t xml:space="preserve">, </w:t>
      </w:r>
      <w:r w:rsidRPr="00F03F8F">
        <w:rPr>
          <w:rFonts w:ascii="Tahoma" w:hAnsi="Tahoma" w:cs="Tahoma"/>
          <w:sz w:val="32"/>
          <w:szCs w:val="32"/>
        </w:rPr>
        <w:t xml:space="preserve">cuatro ítems </w:t>
      </w:r>
      <w:r>
        <w:rPr>
          <w:rFonts w:ascii="Tahoma" w:hAnsi="Tahoma" w:cs="Tahoma"/>
          <w:sz w:val="32"/>
          <w:szCs w:val="32"/>
        </w:rPr>
        <w:t>para</w:t>
      </w:r>
      <w:r w:rsidRPr="00F03F8F">
        <w:rPr>
          <w:rFonts w:ascii="Tahoma" w:hAnsi="Tahoma" w:cs="Tahoma"/>
          <w:sz w:val="32"/>
          <w:szCs w:val="32"/>
        </w:rPr>
        <w:t xml:space="preserve"> alcanzar la excelencia en el mundo empresarial</w:t>
      </w:r>
    </w:p>
    <w:p w14:paraId="6DE42683" w14:textId="77777777" w:rsidR="00F03F8F" w:rsidRDefault="00F03F8F" w:rsidP="00F03F8F">
      <w:pPr>
        <w:pStyle w:val="Textoindependiente"/>
        <w:tabs>
          <w:tab w:val="left" w:pos="420"/>
          <w:tab w:val="left" w:pos="2745"/>
        </w:tabs>
        <w:rPr>
          <w:rFonts w:ascii="Tahoma" w:hAnsi="Tahoma" w:cs="Tahoma"/>
          <w:sz w:val="32"/>
          <w:szCs w:val="32"/>
        </w:rPr>
      </w:pPr>
    </w:p>
    <w:p w14:paraId="617D15FD" w14:textId="4534464B" w:rsidR="00F03F8F" w:rsidRPr="00F03F8F" w:rsidRDefault="00F03F8F" w:rsidP="00F03F8F">
      <w:pPr>
        <w:pStyle w:val="Prrafodelista"/>
        <w:numPr>
          <w:ilvl w:val="0"/>
          <w:numId w:val="13"/>
        </w:numPr>
        <w:tabs>
          <w:tab w:val="left" w:pos="4080"/>
        </w:tabs>
        <w:spacing w:line="240" w:lineRule="auto"/>
        <w:ind w:left="851" w:right="850" w:hanging="567"/>
        <w:jc w:val="center"/>
        <w:textAlignment w:val="baseline"/>
        <w:rPr>
          <w:rFonts w:ascii="Tahoma" w:hAnsi="Tahoma" w:cs="Tahoma"/>
          <w:b/>
        </w:rPr>
      </w:pPr>
      <w:r w:rsidRPr="00F03F8F">
        <w:rPr>
          <w:rFonts w:ascii="Tahoma" w:hAnsi="Tahoma" w:cs="Tahoma"/>
          <w:b/>
        </w:rPr>
        <w:t xml:space="preserve">“La magia de la transformación”, la conferencia “mágica” </w:t>
      </w:r>
      <w:r>
        <w:rPr>
          <w:rFonts w:ascii="Tahoma" w:hAnsi="Tahoma" w:cs="Tahoma"/>
          <w:b/>
        </w:rPr>
        <w:t xml:space="preserve">de                    </w:t>
      </w:r>
      <w:r w:rsidRPr="00F03F8F">
        <w:rPr>
          <w:rFonts w:ascii="Tahoma" w:hAnsi="Tahoma" w:cs="Tahoma"/>
          <w:b/>
        </w:rPr>
        <w:t xml:space="preserve"> Fernando Botella y Jorge Blas</w:t>
      </w:r>
      <w:r w:rsidR="00B34123">
        <w:rPr>
          <w:rFonts w:ascii="Tahoma" w:hAnsi="Tahoma" w:cs="Tahoma"/>
          <w:b/>
        </w:rPr>
        <w:t>s</w:t>
      </w:r>
      <w:r w:rsidR="00CD28CE">
        <w:rPr>
          <w:rFonts w:ascii="Tahoma" w:hAnsi="Tahoma" w:cs="Tahoma"/>
          <w:b/>
        </w:rPr>
        <w:t xml:space="preserve"> en el acto de Escuela de Negocios FEDA</w:t>
      </w:r>
    </w:p>
    <w:p w14:paraId="4A94B2FB" w14:textId="77777777" w:rsidR="00886E75" w:rsidRDefault="00886E75" w:rsidP="00886E75">
      <w:pPr>
        <w:pStyle w:val="Textoindependiente"/>
        <w:tabs>
          <w:tab w:val="left" w:pos="420"/>
          <w:tab w:val="left" w:pos="2745"/>
        </w:tabs>
        <w:rPr>
          <w:rFonts w:ascii="Tahoma" w:hAnsi="Tahoma" w:cs="Tahoma"/>
          <w:b w:val="0"/>
          <w:bCs/>
          <w:sz w:val="22"/>
          <w:szCs w:val="22"/>
        </w:rPr>
      </w:pPr>
    </w:p>
    <w:p w14:paraId="5FB49404" w14:textId="77777777" w:rsidR="00F03F8F" w:rsidRDefault="00F03F8F" w:rsidP="00886E75">
      <w:pPr>
        <w:pStyle w:val="Textoindependiente"/>
        <w:tabs>
          <w:tab w:val="left" w:pos="420"/>
          <w:tab w:val="left" w:pos="2745"/>
        </w:tabs>
        <w:rPr>
          <w:rFonts w:ascii="Tahoma" w:hAnsi="Tahoma" w:cs="Tahoma"/>
          <w:b w:val="0"/>
          <w:bCs/>
          <w:sz w:val="22"/>
          <w:szCs w:val="22"/>
        </w:rPr>
      </w:pPr>
    </w:p>
    <w:p w14:paraId="03E8B17A" w14:textId="3E154304" w:rsidR="00F03F8F" w:rsidRDefault="00F03F8F" w:rsidP="00F03F8F">
      <w:pPr>
        <w:pStyle w:val="Textoindependiente"/>
        <w:tabs>
          <w:tab w:val="left" w:pos="420"/>
          <w:tab w:val="left" w:pos="2745"/>
        </w:tabs>
        <w:jc w:val="both"/>
        <w:rPr>
          <w:rFonts w:ascii="Tahoma" w:hAnsi="Tahoma" w:cs="Tahoma"/>
          <w:b w:val="0"/>
          <w:bCs/>
          <w:sz w:val="22"/>
          <w:szCs w:val="22"/>
        </w:rPr>
      </w:pPr>
      <w:r>
        <w:rPr>
          <w:rFonts w:ascii="Tahoma" w:hAnsi="Tahoma" w:cs="Tahoma"/>
          <w:b w:val="0"/>
          <w:bCs/>
          <w:sz w:val="22"/>
          <w:szCs w:val="22"/>
        </w:rPr>
        <w:t xml:space="preserve">Como es habitual, el acto de clausura del curso académico de </w:t>
      </w:r>
      <w:hyperlink r:id="rId8" w:history="1">
        <w:r w:rsidRPr="00AB48D9">
          <w:rPr>
            <w:rStyle w:val="Hipervnculo"/>
            <w:rFonts w:ascii="Tahoma" w:hAnsi="Tahoma" w:cs="Tahoma"/>
            <w:b w:val="0"/>
            <w:bCs/>
            <w:sz w:val="22"/>
            <w:szCs w:val="22"/>
          </w:rPr>
          <w:t>Escuela de Negocios FEDA</w:t>
        </w:r>
      </w:hyperlink>
      <w:r w:rsidR="00CD28CE">
        <w:rPr>
          <w:rFonts w:ascii="Tahoma" w:hAnsi="Tahoma" w:cs="Tahoma"/>
          <w:b w:val="0"/>
          <w:bCs/>
          <w:sz w:val="22"/>
          <w:szCs w:val="22"/>
        </w:rPr>
        <w:t xml:space="preserve"> (con </w:t>
      </w:r>
      <w:hyperlink r:id="rId9" w:history="1">
        <w:r w:rsidR="00CD28CE" w:rsidRPr="00CD28CE">
          <w:rPr>
            <w:rStyle w:val="Hipervnculo"/>
            <w:rFonts w:ascii="Tahoma" w:hAnsi="Tahoma" w:cs="Tahoma"/>
            <w:b w:val="0"/>
            <w:bCs/>
            <w:sz w:val="22"/>
            <w:szCs w:val="22"/>
          </w:rPr>
          <w:t>Fundación Globalcaja</w:t>
        </w:r>
      </w:hyperlink>
      <w:r w:rsidR="00CD28CE">
        <w:rPr>
          <w:rFonts w:ascii="Tahoma" w:hAnsi="Tahoma" w:cs="Tahoma"/>
          <w:b w:val="0"/>
          <w:bCs/>
          <w:sz w:val="22"/>
          <w:szCs w:val="22"/>
        </w:rPr>
        <w:t xml:space="preserve"> como patrocinador global),</w:t>
      </w:r>
      <w:r>
        <w:rPr>
          <w:rFonts w:ascii="Tahoma" w:hAnsi="Tahoma" w:cs="Tahoma"/>
          <w:b w:val="0"/>
          <w:bCs/>
          <w:sz w:val="22"/>
          <w:szCs w:val="22"/>
        </w:rPr>
        <w:t xml:space="preserve"> correspondiente a 2023-2024, y con ello la titulación de los alumnos y alumnas de la XIV edición del </w:t>
      </w:r>
      <w:hyperlink r:id="rId10" w:history="1">
        <w:r w:rsidRPr="00AB48D9">
          <w:rPr>
            <w:rStyle w:val="Hipervnculo"/>
            <w:rFonts w:ascii="Tahoma" w:hAnsi="Tahoma" w:cs="Tahoma"/>
            <w:b w:val="0"/>
            <w:bCs/>
            <w:sz w:val="22"/>
            <w:szCs w:val="22"/>
          </w:rPr>
          <w:t>MBA</w:t>
        </w:r>
        <w:r w:rsidR="00AB48D9" w:rsidRPr="00AB48D9">
          <w:rPr>
            <w:rStyle w:val="Hipervnculo"/>
            <w:rFonts w:ascii="Tahoma" w:hAnsi="Tahoma" w:cs="Tahoma"/>
            <w:b w:val="0"/>
            <w:bCs/>
            <w:sz w:val="22"/>
            <w:szCs w:val="22"/>
          </w:rPr>
          <w:t xml:space="preserve"> Executive</w:t>
        </w:r>
      </w:hyperlink>
      <w:r>
        <w:rPr>
          <w:rFonts w:ascii="Tahoma" w:hAnsi="Tahoma" w:cs="Tahoma"/>
          <w:b w:val="0"/>
          <w:bCs/>
          <w:sz w:val="22"/>
          <w:szCs w:val="22"/>
        </w:rPr>
        <w:t xml:space="preserve">, junto con los que han cursado el programa el programa superior </w:t>
      </w:r>
      <w:hyperlink r:id="rId11" w:history="1">
        <w:r w:rsidRPr="00AB48D9">
          <w:rPr>
            <w:rStyle w:val="Hipervnculo"/>
            <w:rFonts w:ascii="Tahoma" w:hAnsi="Tahoma" w:cs="Tahoma"/>
            <w:b w:val="0"/>
            <w:bCs/>
            <w:sz w:val="22"/>
            <w:szCs w:val="22"/>
          </w:rPr>
          <w:t>DIRCOM</w:t>
        </w:r>
      </w:hyperlink>
      <w:r>
        <w:rPr>
          <w:rFonts w:ascii="Tahoma" w:hAnsi="Tahoma" w:cs="Tahoma"/>
          <w:b w:val="0"/>
          <w:bCs/>
          <w:sz w:val="22"/>
          <w:szCs w:val="22"/>
        </w:rPr>
        <w:t xml:space="preserve">, se inició con una </w:t>
      </w:r>
      <w:r w:rsidRPr="00AB48D9">
        <w:rPr>
          <w:rFonts w:ascii="Tahoma" w:hAnsi="Tahoma" w:cs="Tahoma"/>
          <w:b w:val="0"/>
          <w:bCs/>
          <w:sz w:val="22"/>
          <w:szCs w:val="22"/>
        </w:rPr>
        <w:t>conferencia</w:t>
      </w:r>
      <w:r>
        <w:rPr>
          <w:rFonts w:ascii="Tahoma" w:hAnsi="Tahoma" w:cs="Tahoma"/>
          <w:b w:val="0"/>
          <w:bCs/>
          <w:sz w:val="22"/>
          <w:szCs w:val="22"/>
        </w:rPr>
        <w:t xml:space="preserve"> que aporta y contribuye al crecimiento personal y empresarial de los alumnos que cursan estudios en Escuela de Negocios FEDA. En esta ocasión, la conferencia estuvo protagonizada por Fernando Botella, acompañado del mago Jorge Blas</w:t>
      </w:r>
      <w:r w:rsidR="00B34123">
        <w:rPr>
          <w:rFonts w:ascii="Tahoma" w:hAnsi="Tahoma" w:cs="Tahoma"/>
          <w:b w:val="0"/>
          <w:bCs/>
          <w:sz w:val="22"/>
          <w:szCs w:val="22"/>
        </w:rPr>
        <w:t>s</w:t>
      </w:r>
      <w:r>
        <w:rPr>
          <w:rFonts w:ascii="Tahoma" w:hAnsi="Tahoma" w:cs="Tahoma"/>
          <w:b w:val="0"/>
          <w:bCs/>
          <w:sz w:val="22"/>
          <w:szCs w:val="22"/>
        </w:rPr>
        <w:t xml:space="preserve">, bajo el título de </w:t>
      </w:r>
      <w:hyperlink r:id="rId12" w:history="1">
        <w:r w:rsidRPr="00EF5543">
          <w:rPr>
            <w:rStyle w:val="Hipervnculo"/>
            <w:rFonts w:ascii="Tahoma" w:hAnsi="Tahoma" w:cs="Tahoma"/>
            <w:b w:val="0"/>
            <w:bCs/>
            <w:sz w:val="22"/>
            <w:szCs w:val="22"/>
          </w:rPr>
          <w:t>“La magia de la transformación”</w:t>
        </w:r>
      </w:hyperlink>
      <w:r>
        <w:rPr>
          <w:rFonts w:ascii="Tahoma" w:hAnsi="Tahoma" w:cs="Tahoma"/>
          <w:b w:val="0"/>
          <w:bCs/>
          <w:sz w:val="22"/>
          <w:szCs w:val="22"/>
        </w:rPr>
        <w:t>. En esta conferencia el eje central fue la importancia de tener buena actitud ante “lo nuevo” y cómo acabar con las resistencias a la transformación y convertirlas en trampolines de crecimiento.</w:t>
      </w:r>
    </w:p>
    <w:p w14:paraId="10ED59FF" w14:textId="77777777" w:rsidR="00F03F8F" w:rsidRDefault="00F03F8F" w:rsidP="00F03F8F">
      <w:pPr>
        <w:pStyle w:val="Textoindependiente"/>
        <w:tabs>
          <w:tab w:val="left" w:pos="420"/>
          <w:tab w:val="left" w:pos="2745"/>
        </w:tabs>
        <w:jc w:val="both"/>
        <w:rPr>
          <w:rFonts w:ascii="Tahoma" w:hAnsi="Tahoma" w:cs="Tahoma"/>
          <w:b w:val="0"/>
          <w:bCs/>
          <w:sz w:val="22"/>
          <w:szCs w:val="22"/>
        </w:rPr>
      </w:pPr>
    </w:p>
    <w:p w14:paraId="67AD434B" w14:textId="6054E465" w:rsidR="00F03F8F" w:rsidRPr="00F03F8F" w:rsidRDefault="00F03F8F" w:rsidP="00F03F8F">
      <w:pPr>
        <w:tabs>
          <w:tab w:val="left" w:pos="4080"/>
        </w:tabs>
        <w:textAlignment w:val="baseline"/>
        <w:rPr>
          <w:rFonts w:ascii="Tahoma" w:hAnsi="Tahoma" w:cs="Tahoma"/>
          <w:sz w:val="22"/>
          <w:szCs w:val="22"/>
        </w:rPr>
      </w:pPr>
      <w:r w:rsidRPr="00F03F8F">
        <w:rPr>
          <w:rFonts w:ascii="Tahoma" w:hAnsi="Tahoma" w:cs="Tahoma"/>
          <w:sz w:val="22"/>
          <w:szCs w:val="22"/>
        </w:rPr>
        <w:t>Fernando Botella y Jorge Blas</w:t>
      </w:r>
      <w:r w:rsidR="00B34123">
        <w:rPr>
          <w:rFonts w:ascii="Tahoma" w:hAnsi="Tahoma" w:cs="Tahoma"/>
          <w:sz w:val="22"/>
          <w:szCs w:val="22"/>
        </w:rPr>
        <w:t>s</w:t>
      </w:r>
      <w:r w:rsidRPr="00F03F8F">
        <w:rPr>
          <w:rFonts w:ascii="Tahoma" w:hAnsi="Tahoma" w:cs="Tahoma"/>
          <w:sz w:val="22"/>
          <w:szCs w:val="22"/>
        </w:rPr>
        <w:t xml:space="preserve"> trasladaron la magia al mundo de los negocios, ofreciendo una serie de tips para alcanzar la excelencia. </w:t>
      </w:r>
    </w:p>
    <w:p w14:paraId="7CFB8396" w14:textId="77777777" w:rsidR="00F03F8F" w:rsidRPr="00F03F8F" w:rsidRDefault="00F03F8F" w:rsidP="00F03F8F">
      <w:pPr>
        <w:tabs>
          <w:tab w:val="left" w:pos="4080"/>
        </w:tabs>
        <w:textAlignment w:val="baseline"/>
        <w:rPr>
          <w:rFonts w:ascii="Tahoma" w:hAnsi="Tahoma" w:cs="Tahoma"/>
          <w:sz w:val="22"/>
          <w:szCs w:val="22"/>
        </w:rPr>
      </w:pPr>
    </w:p>
    <w:p w14:paraId="57F41CEF" w14:textId="77777777" w:rsidR="00F03F8F" w:rsidRPr="00F03F8F" w:rsidRDefault="00F03F8F" w:rsidP="00F03F8F">
      <w:pPr>
        <w:tabs>
          <w:tab w:val="left" w:pos="4080"/>
        </w:tabs>
        <w:textAlignment w:val="baseline"/>
        <w:rPr>
          <w:rFonts w:ascii="Tahoma" w:hAnsi="Tahoma" w:cs="Tahoma"/>
          <w:sz w:val="22"/>
          <w:szCs w:val="22"/>
        </w:rPr>
      </w:pPr>
      <w:r w:rsidRPr="00F03F8F">
        <w:rPr>
          <w:rFonts w:ascii="Tahoma" w:hAnsi="Tahoma" w:cs="Tahoma"/>
          <w:sz w:val="22"/>
          <w:szCs w:val="22"/>
        </w:rPr>
        <w:t>En este sentido, señalaron que sueño, entusiasmo, talento y perseverancia son los cuatro ítems que llevan a las personas a alcanzar la excelencia en el mundo empresarial. Así, recomendaron establecer unos sueños a cumplir, poniendo toda la energía para cumplir dicho sueño. También entusiasmo en lo que se hace y, dijo Fernando Botella, hay que poner talento, manteniendo el esfuerzo en el tiempo, lo que da lugar a la perseverancia.</w:t>
      </w:r>
    </w:p>
    <w:p w14:paraId="4B06D803" w14:textId="77777777" w:rsidR="00F03F8F" w:rsidRPr="00F03F8F" w:rsidRDefault="00F03F8F" w:rsidP="00F03F8F">
      <w:pPr>
        <w:tabs>
          <w:tab w:val="left" w:pos="4080"/>
        </w:tabs>
        <w:textAlignment w:val="baseline"/>
        <w:rPr>
          <w:rFonts w:ascii="Tahoma" w:hAnsi="Tahoma" w:cs="Tahoma"/>
          <w:sz w:val="22"/>
          <w:szCs w:val="22"/>
        </w:rPr>
      </w:pPr>
    </w:p>
    <w:p w14:paraId="6099C71A" w14:textId="77777777" w:rsidR="00F03F8F" w:rsidRPr="00F03F8F" w:rsidRDefault="00F03F8F" w:rsidP="00F03F8F">
      <w:pPr>
        <w:tabs>
          <w:tab w:val="left" w:pos="4080"/>
        </w:tabs>
        <w:textAlignment w:val="baseline"/>
        <w:rPr>
          <w:rFonts w:ascii="Tahoma" w:hAnsi="Tahoma" w:cs="Tahoma"/>
          <w:sz w:val="22"/>
          <w:szCs w:val="22"/>
        </w:rPr>
      </w:pPr>
      <w:r w:rsidRPr="00F03F8F">
        <w:rPr>
          <w:rFonts w:ascii="Tahoma" w:hAnsi="Tahoma" w:cs="Tahoma"/>
          <w:sz w:val="22"/>
          <w:szCs w:val="22"/>
        </w:rPr>
        <w:t>En una conferencia que sorprendió a todos los asistentes con los diferentes trucos de magia del mago Jorge Blass, los ponentes insistieron en la importancia de la actitud que le pones a tus actos. En la parte final, explicaron las diferencias entre adaptación y disrupción. “</w:t>
      </w:r>
      <w:r w:rsidRPr="00F03F8F">
        <w:rPr>
          <w:rFonts w:ascii="Tahoma" w:hAnsi="Tahoma" w:cs="Tahoma"/>
          <w:color w:val="0F1419"/>
          <w:sz w:val="22"/>
          <w:szCs w:val="22"/>
        </w:rPr>
        <w:t>Adaptarnos es importante, pero los que se adaptan siempre van por detrás de los que han hecho algo, que son los que van delante. No es suficiente la adaptación. Las empresas también dependen de la disrupción, de hacer cosas diferentes, cosas nuevas”.</w:t>
      </w:r>
    </w:p>
    <w:p w14:paraId="06780C63" w14:textId="77777777" w:rsidR="00F03F8F" w:rsidRDefault="00F03F8F" w:rsidP="00F03F8F">
      <w:pPr>
        <w:tabs>
          <w:tab w:val="left" w:pos="4080"/>
        </w:tabs>
        <w:textAlignment w:val="baseline"/>
        <w:rPr>
          <w:rFonts w:ascii="Tahoma" w:hAnsi="Tahoma" w:cs="Tahoma"/>
        </w:rPr>
      </w:pPr>
    </w:p>
    <w:p w14:paraId="467FE092" w14:textId="77777777" w:rsidR="00F03F8F" w:rsidRDefault="00F03F8F" w:rsidP="00F03F8F">
      <w:pPr>
        <w:tabs>
          <w:tab w:val="left" w:pos="4080"/>
        </w:tabs>
        <w:textAlignment w:val="baseline"/>
        <w:rPr>
          <w:rFonts w:ascii="Tahoma" w:hAnsi="Tahoma" w:cs="Tahoma"/>
        </w:rPr>
      </w:pPr>
    </w:p>
    <w:p w14:paraId="71270E14" w14:textId="77777777" w:rsidR="00B339F6" w:rsidRPr="00F03F8F" w:rsidRDefault="00B339F6" w:rsidP="00EC227E">
      <w:pPr>
        <w:jc w:val="right"/>
        <w:rPr>
          <w:rFonts w:ascii="Tahoma" w:hAnsi="Tahoma" w:cs="Tahoma"/>
          <w:bCs/>
          <w:sz w:val="22"/>
          <w:szCs w:val="22"/>
        </w:rPr>
      </w:pPr>
    </w:p>
    <w:sectPr w:rsidR="00B339F6" w:rsidRPr="00F03F8F" w:rsidSect="00702694">
      <w:headerReference w:type="even" r:id="rId13"/>
      <w:headerReference w:type="default" r:id="rId14"/>
      <w:footerReference w:type="even" r:id="rId15"/>
      <w:footerReference w:type="default" r:id="rId16"/>
      <w:headerReference w:type="first" r:id="rId17"/>
      <w:footerReference w:type="first" r:id="rId18"/>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CD28CE"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CD28CE"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CD28CE"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CD28CE"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CD28CE"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CD28CE"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37F6D" w14:textId="77777777" w:rsidR="003D2661" w:rsidRDefault="003D26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2D293" w14:textId="77777777" w:rsidR="003D2661" w:rsidRDefault="003D266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20CB223" w:rsidR="00A90926" w:rsidRPr="00262D35" w:rsidRDefault="00262D35" w:rsidP="0034347B">
    <w:pPr>
      <w:pStyle w:val="Encabezado"/>
      <w:jc w:val="right"/>
      <w:rPr>
        <w:rFonts w:ascii="Tahoma" w:hAnsi="Tahoma"/>
        <w:sz w:val="22"/>
        <w:szCs w:val="22"/>
      </w:rPr>
    </w:pPr>
    <w:r w:rsidRPr="00262D35">
      <w:rPr>
        <w:noProof/>
        <w:sz w:val="22"/>
        <w:szCs w:val="22"/>
      </w:rPr>
      <w:drawing>
        <wp:anchor distT="0" distB="0" distL="114300" distR="114300" simplePos="0" relativeHeight="251662848" behindDoc="0" locked="0" layoutInCell="1" allowOverlap="1" wp14:anchorId="23414010" wp14:editId="161DD4AF">
          <wp:simplePos x="0" y="0"/>
          <wp:positionH relativeFrom="column">
            <wp:posOffset>1375410</wp:posOffset>
          </wp:positionH>
          <wp:positionV relativeFrom="paragraph">
            <wp:posOffset>9525</wp:posOffset>
          </wp:positionV>
          <wp:extent cx="1343025" cy="561975"/>
          <wp:effectExtent l="0" t="0" r="9525" b="9525"/>
          <wp:wrapThrough wrapText="bothSides">
            <wp:wrapPolygon edited="0">
              <wp:start x="0" y="0"/>
              <wp:lineTo x="0" y="21234"/>
              <wp:lineTo x="21447" y="21234"/>
              <wp:lineTo x="21447" y="0"/>
              <wp:lineTo x="0" y="0"/>
            </wp:wrapPolygon>
          </wp:wrapThrough>
          <wp:docPr id="98258543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85433"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B8EEB" w14:textId="77777777" w:rsidR="003D2661" w:rsidRDefault="003D266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1C4377EF"/>
    <w:multiLevelType w:val="hybridMultilevel"/>
    <w:tmpl w:val="B4361E0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318F72E6"/>
    <w:multiLevelType w:val="multilevel"/>
    <w:tmpl w:val="6B00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4A0D92"/>
    <w:multiLevelType w:val="hybridMultilevel"/>
    <w:tmpl w:val="7FC670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4620733"/>
    <w:multiLevelType w:val="multilevel"/>
    <w:tmpl w:val="C706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EE6CFE"/>
    <w:multiLevelType w:val="hybridMultilevel"/>
    <w:tmpl w:val="102223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FF928B3"/>
    <w:multiLevelType w:val="multilevel"/>
    <w:tmpl w:val="4874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16cid:durableId="1192307145">
    <w:abstractNumId w:val="15"/>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73673214">
    <w:abstractNumId w:val="8"/>
  </w:num>
  <w:num w:numId="7" w16cid:durableId="194999197">
    <w:abstractNumId w:val="7"/>
  </w:num>
  <w:num w:numId="8" w16cid:durableId="1747264343">
    <w:abstractNumId w:val="11"/>
  </w:num>
  <w:num w:numId="9" w16cid:durableId="702754920">
    <w:abstractNumId w:val="10"/>
  </w:num>
  <w:num w:numId="10" w16cid:durableId="1964531208">
    <w:abstractNumId w:val="9"/>
  </w:num>
  <w:num w:numId="11" w16cid:durableId="2115636873">
    <w:abstractNumId w:val="12"/>
  </w:num>
  <w:num w:numId="12" w16cid:durableId="1140465601">
    <w:abstractNumId w:val="14"/>
  </w:num>
  <w:num w:numId="13" w16cid:durableId="512650930">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703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8D9"/>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07D52"/>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123"/>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8CE"/>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4E9C"/>
    <w:rsid w:val="00EF5543"/>
    <w:rsid w:val="00EF5E87"/>
    <w:rsid w:val="00EF6A04"/>
    <w:rsid w:val="00EF6AF0"/>
    <w:rsid w:val="00EF7D61"/>
    <w:rsid w:val="00EF7E35"/>
    <w:rsid w:val="00F00539"/>
    <w:rsid w:val="00F00893"/>
    <w:rsid w:val="00F01DF4"/>
    <w:rsid w:val="00F02716"/>
    <w:rsid w:val="00F03F8F"/>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0337"/>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scueladenegociosfeda.com/"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scueladenegociosfeda.com/index.php?option=com_chronoforms5&amp;chronoform=fb-79-conferencia-magia-transformacion-clausura"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cueladenegociosfeda.com/formacion/programas-superiores/item/105-programa-direccion-comercial-y-marketing-dircom-202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scueladenegociosfeda.com/formacion/masters/item/102-mba-executive-2024-2025-xv-edic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undacionglobalcajaalbacete.es"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355</Words>
  <Characters>2387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2737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F O</cp:lastModifiedBy>
  <cp:revision>4</cp:revision>
  <cp:lastPrinted>2021-03-16T11:17:00Z</cp:lastPrinted>
  <dcterms:created xsi:type="dcterms:W3CDTF">2024-04-25T09:13:00Z</dcterms:created>
  <dcterms:modified xsi:type="dcterms:W3CDTF">2024-04-25T10:38:00Z</dcterms:modified>
</cp:coreProperties>
</file>