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4DADBEE4" w14:textId="77777777" w:rsidR="00E1585C" w:rsidRDefault="00E1585C" w:rsidP="00E1585C">
      <w:pPr>
        <w:pStyle w:val="Sangra2detindependiente"/>
        <w:spacing w:line="276" w:lineRule="auto"/>
        <w:ind w:firstLine="0"/>
        <w:jc w:val="center"/>
        <w:rPr>
          <w:rFonts w:ascii="Tahoma" w:hAnsi="Tahoma" w:cs="Tahoma"/>
          <w:b/>
          <w:bCs/>
          <w:color w:val="A50021"/>
          <w:sz w:val="32"/>
          <w:szCs w:val="22"/>
          <w:u w:val="single"/>
        </w:rPr>
      </w:pPr>
    </w:p>
    <w:p w14:paraId="7AD3902B" w14:textId="0137CF84" w:rsidR="00E1585C" w:rsidRDefault="00E1585C" w:rsidP="00E1585C">
      <w:pPr>
        <w:pStyle w:val="Sangra2detindependiente"/>
        <w:spacing w:line="276" w:lineRule="auto"/>
        <w:ind w:firstLine="0"/>
        <w:jc w:val="right"/>
        <w:rPr>
          <w:rFonts w:ascii="Tahoma" w:hAnsi="Tahoma" w:cs="Tahoma"/>
          <w:sz w:val="22"/>
          <w:szCs w:val="22"/>
        </w:rPr>
      </w:pPr>
      <w:r w:rsidRPr="00E1585C">
        <w:rPr>
          <w:rFonts w:ascii="Tahoma" w:hAnsi="Tahoma" w:cs="Tahoma"/>
          <w:sz w:val="22"/>
          <w:szCs w:val="22"/>
        </w:rPr>
        <w:t>Albacete, 29 octubre 2024</w:t>
      </w:r>
    </w:p>
    <w:p w14:paraId="1F5AF0E6" w14:textId="77777777" w:rsidR="00E1585C" w:rsidRDefault="00E1585C" w:rsidP="00E1585C">
      <w:pPr>
        <w:pStyle w:val="Sangra2detindependiente"/>
        <w:spacing w:line="276" w:lineRule="auto"/>
        <w:ind w:firstLine="0"/>
        <w:jc w:val="right"/>
        <w:rPr>
          <w:rFonts w:ascii="Tahoma" w:hAnsi="Tahoma" w:cs="Tahoma"/>
          <w:sz w:val="22"/>
          <w:szCs w:val="22"/>
        </w:rPr>
      </w:pPr>
    </w:p>
    <w:p w14:paraId="4D6850BC" w14:textId="139E064F" w:rsidR="00E1585C" w:rsidRPr="00E1585C" w:rsidRDefault="00E1585C" w:rsidP="00E1585C">
      <w:pPr>
        <w:pStyle w:val="Sangra2detindependiente"/>
        <w:ind w:firstLine="0"/>
        <w:jc w:val="center"/>
        <w:rPr>
          <w:rFonts w:ascii="Tahoma" w:hAnsi="Tahoma" w:cs="Tahoma"/>
          <w:b/>
          <w:bCs/>
          <w:sz w:val="32"/>
          <w:szCs w:val="32"/>
        </w:rPr>
      </w:pPr>
      <w:r>
        <w:rPr>
          <w:rFonts w:ascii="Tahoma" w:hAnsi="Tahoma" w:cs="Tahoma"/>
          <w:b/>
          <w:bCs/>
          <w:sz w:val="32"/>
          <w:szCs w:val="32"/>
        </w:rPr>
        <w:t>La Asociación de Empresarios de Vinos analiza la nueva normativa de envases y ley de la cadena alimentaria en el sector vitivinícola</w:t>
      </w:r>
    </w:p>
    <w:p w14:paraId="6551CEB1" w14:textId="77777777" w:rsidR="00E1585C" w:rsidRDefault="00E1585C" w:rsidP="00E1585C">
      <w:pPr>
        <w:pStyle w:val="Sangra2detindependiente"/>
        <w:spacing w:line="276" w:lineRule="auto"/>
        <w:ind w:firstLine="0"/>
        <w:jc w:val="center"/>
        <w:rPr>
          <w:rFonts w:ascii="Tahoma" w:hAnsi="Tahoma" w:cs="Tahoma"/>
          <w:b/>
          <w:bCs/>
          <w:color w:val="A50021"/>
          <w:sz w:val="32"/>
          <w:szCs w:val="22"/>
          <w:u w:val="single"/>
        </w:rPr>
      </w:pPr>
    </w:p>
    <w:p w14:paraId="578CD441" w14:textId="235972B7" w:rsidR="00E1585C" w:rsidRDefault="00E1585C" w:rsidP="00E1585C">
      <w:pPr>
        <w:pStyle w:val="Sangra2detindependiente"/>
        <w:numPr>
          <w:ilvl w:val="0"/>
          <w:numId w:val="8"/>
        </w:numPr>
        <w:jc w:val="center"/>
        <w:rPr>
          <w:rFonts w:ascii="Tahoma" w:hAnsi="Tahoma" w:cs="Tahoma"/>
          <w:b/>
          <w:bCs/>
          <w:sz w:val="22"/>
          <w:szCs w:val="22"/>
        </w:rPr>
      </w:pPr>
      <w:r>
        <w:rPr>
          <w:rFonts w:ascii="Tahoma" w:hAnsi="Tahoma" w:cs="Tahoma"/>
          <w:b/>
          <w:bCs/>
          <w:sz w:val="22"/>
          <w:szCs w:val="22"/>
        </w:rPr>
        <w:t>Mañana miércoles, día 30, desde las 11,00 horas, en FEDA, con la colaboración de Eurocaja Rural</w:t>
      </w:r>
    </w:p>
    <w:p w14:paraId="1DDF5FA1" w14:textId="77777777" w:rsidR="00E1585C" w:rsidRDefault="00E1585C" w:rsidP="00E1585C">
      <w:pPr>
        <w:pStyle w:val="Sangra2detindependiente"/>
        <w:jc w:val="center"/>
        <w:rPr>
          <w:rFonts w:ascii="Tahoma" w:hAnsi="Tahoma" w:cs="Tahoma"/>
          <w:b/>
          <w:bCs/>
          <w:sz w:val="22"/>
          <w:szCs w:val="22"/>
        </w:rPr>
      </w:pPr>
    </w:p>
    <w:p w14:paraId="2D5D93EC" w14:textId="77777777" w:rsidR="00E1585C" w:rsidRDefault="00E1585C" w:rsidP="00E1585C">
      <w:pPr>
        <w:pStyle w:val="Sangra2detindependiente"/>
        <w:rPr>
          <w:rFonts w:ascii="Tahoma" w:hAnsi="Tahoma" w:cs="Tahoma"/>
          <w:b/>
          <w:bCs/>
          <w:sz w:val="22"/>
          <w:szCs w:val="22"/>
        </w:rPr>
      </w:pPr>
    </w:p>
    <w:p w14:paraId="03A4B614" w14:textId="77777777" w:rsidR="00E1585C" w:rsidRDefault="00E1585C" w:rsidP="00E1585C">
      <w:pPr>
        <w:pStyle w:val="Sangra2detindependiente"/>
        <w:rPr>
          <w:rFonts w:ascii="Tahoma" w:hAnsi="Tahoma" w:cs="Tahoma"/>
          <w:b/>
          <w:bCs/>
          <w:sz w:val="22"/>
          <w:szCs w:val="22"/>
        </w:rPr>
      </w:pPr>
    </w:p>
    <w:p w14:paraId="027037ED" w14:textId="1C97C4EA" w:rsidR="00E1585C" w:rsidRDefault="00490485" w:rsidP="00490485">
      <w:pPr>
        <w:pStyle w:val="Sangra2detindependiente"/>
        <w:ind w:left="0" w:firstLine="0"/>
        <w:rPr>
          <w:rFonts w:ascii="Tahoma" w:hAnsi="Tahoma" w:cs="Tahoma"/>
          <w:sz w:val="22"/>
          <w:szCs w:val="22"/>
        </w:rPr>
      </w:pPr>
      <w:r>
        <w:rPr>
          <w:rFonts w:ascii="Tahoma" w:hAnsi="Tahoma" w:cs="Tahoma"/>
          <w:sz w:val="22"/>
          <w:szCs w:val="22"/>
        </w:rPr>
        <w:t xml:space="preserve">Mañana miércoles, en </w:t>
      </w:r>
      <w:hyperlink r:id="rId8" w:history="1">
        <w:r w:rsidRPr="00490485">
          <w:rPr>
            <w:rStyle w:val="Hipervnculo"/>
            <w:rFonts w:ascii="Tahoma" w:hAnsi="Tahoma" w:cs="Tahoma"/>
            <w:sz w:val="22"/>
            <w:szCs w:val="22"/>
          </w:rPr>
          <w:t>FEDA</w:t>
        </w:r>
      </w:hyperlink>
      <w:r>
        <w:rPr>
          <w:rFonts w:ascii="Tahoma" w:hAnsi="Tahoma" w:cs="Tahoma"/>
          <w:sz w:val="22"/>
          <w:szCs w:val="22"/>
        </w:rPr>
        <w:t xml:space="preserve">, como acción de promoción empresarial en el acuerdo de colaboración con </w:t>
      </w:r>
      <w:hyperlink r:id="rId9" w:history="1">
        <w:r w:rsidRPr="00901549">
          <w:rPr>
            <w:rStyle w:val="Hipervnculo"/>
            <w:rFonts w:ascii="Tahoma" w:hAnsi="Tahoma" w:cs="Tahoma"/>
            <w:sz w:val="22"/>
            <w:szCs w:val="22"/>
          </w:rPr>
          <w:t>Eurocaja Rural</w:t>
        </w:r>
      </w:hyperlink>
      <w:r>
        <w:rPr>
          <w:rFonts w:ascii="Tahoma" w:hAnsi="Tahoma" w:cs="Tahoma"/>
          <w:sz w:val="22"/>
          <w:szCs w:val="22"/>
        </w:rPr>
        <w:t xml:space="preserve">, tendrá lugar una jornada técnica de la </w:t>
      </w:r>
      <w:hyperlink r:id="rId10" w:history="1">
        <w:r w:rsidRPr="00490485">
          <w:rPr>
            <w:rStyle w:val="Hipervnculo"/>
            <w:rFonts w:ascii="Tahoma" w:hAnsi="Tahoma" w:cs="Tahoma"/>
            <w:sz w:val="22"/>
            <w:szCs w:val="22"/>
          </w:rPr>
          <w:t>Asociación de Empresarios de Vino de Albacete</w:t>
        </w:r>
      </w:hyperlink>
      <w:r>
        <w:rPr>
          <w:rFonts w:ascii="Tahoma" w:hAnsi="Tahoma" w:cs="Tahoma"/>
          <w:sz w:val="22"/>
          <w:szCs w:val="22"/>
        </w:rPr>
        <w:t>, sobre la nueva normativa de envases y la ley de la cadena alimentaria en el sector vitivinícola.</w:t>
      </w:r>
    </w:p>
    <w:p w14:paraId="2AB5B256" w14:textId="77777777" w:rsidR="00490485" w:rsidRDefault="00490485" w:rsidP="00490485">
      <w:pPr>
        <w:pStyle w:val="Sangra2detindependiente"/>
        <w:ind w:left="0" w:firstLine="0"/>
        <w:rPr>
          <w:rFonts w:ascii="Tahoma" w:hAnsi="Tahoma" w:cs="Tahoma"/>
          <w:sz w:val="22"/>
          <w:szCs w:val="22"/>
        </w:rPr>
      </w:pPr>
    </w:p>
    <w:p w14:paraId="3D51676B" w14:textId="61F64C42" w:rsidR="00490485" w:rsidRDefault="00490485" w:rsidP="00490485">
      <w:pPr>
        <w:pStyle w:val="Sangra2detindependiente"/>
        <w:ind w:left="0" w:firstLine="0"/>
        <w:rPr>
          <w:rFonts w:ascii="Tahoma" w:hAnsi="Tahoma" w:cs="Tahoma"/>
          <w:sz w:val="22"/>
          <w:szCs w:val="22"/>
        </w:rPr>
      </w:pPr>
      <w:r>
        <w:rPr>
          <w:rFonts w:ascii="Tahoma" w:hAnsi="Tahoma" w:cs="Tahoma"/>
          <w:sz w:val="22"/>
          <w:szCs w:val="22"/>
        </w:rPr>
        <w:t xml:space="preserve">El objetivo de la jornada es conocer la nueva normativa en materia de sostenibilidad, relacionada con la gestión de los envases, así como los puntos clave en la ley de la cadena alimentaria en el sector, con el fin de que las empresas estén preparadas para su cumplimento correcto. Esta jornada está dirigida a todas las empresas del sector vitivinícola de la región, asociadas a </w:t>
      </w:r>
      <w:hyperlink r:id="rId11" w:history="1">
        <w:r w:rsidRPr="00490485">
          <w:rPr>
            <w:rStyle w:val="Hipervnculo"/>
            <w:rFonts w:ascii="Tahoma" w:hAnsi="Tahoma" w:cs="Tahoma"/>
            <w:sz w:val="22"/>
            <w:szCs w:val="22"/>
          </w:rPr>
          <w:t>FEVIN</w:t>
        </w:r>
      </w:hyperlink>
      <w:r>
        <w:rPr>
          <w:rFonts w:ascii="Tahoma" w:hAnsi="Tahoma" w:cs="Tahoma"/>
          <w:sz w:val="22"/>
          <w:szCs w:val="22"/>
        </w:rPr>
        <w:t xml:space="preserve"> a través de sus </w:t>
      </w:r>
      <w:hyperlink r:id="rId12" w:history="1">
        <w:r w:rsidRPr="00490485">
          <w:rPr>
            <w:rStyle w:val="Hipervnculo"/>
            <w:rFonts w:ascii="Tahoma" w:hAnsi="Tahoma" w:cs="Tahoma"/>
            <w:sz w:val="22"/>
            <w:szCs w:val="22"/>
          </w:rPr>
          <w:t>organizaciones provinciales</w:t>
        </w:r>
      </w:hyperlink>
      <w:r w:rsidR="00901549">
        <w:rPr>
          <w:rFonts w:ascii="Tahoma" w:hAnsi="Tahoma" w:cs="Tahoma"/>
          <w:sz w:val="22"/>
          <w:szCs w:val="22"/>
        </w:rPr>
        <w:t xml:space="preserve"> en CECAM</w:t>
      </w:r>
      <w:r>
        <w:rPr>
          <w:rFonts w:ascii="Tahoma" w:hAnsi="Tahoma" w:cs="Tahoma"/>
          <w:sz w:val="22"/>
          <w:szCs w:val="22"/>
        </w:rPr>
        <w:t xml:space="preserve"> y </w:t>
      </w:r>
      <w:hyperlink r:id="rId13" w:history="1">
        <w:r w:rsidRPr="00490485">
          <w:rPr>
            <w:rStyle w:val="Hipervnculo"/>
            <w:rFonts w:ascii="Tahoma" w:hAnsi="Tahoma" w:cs="Tahoma"/>
            <w:sz w:val="22"/>
            <w:szCs w:val="22"/>
          </w:rPr>
          <w:t>asociación sectorial</w:t>
        </w:r>
      </w:hyperlink>
      <w:r>
        <w:rPr>
          <w:rFonts w:ascii="Tahoma" w:hAnsi="Tahoma" w:cs="Tahoma"/>
          <w:sz w:val="22"/>
          <w:szCs w:val="22"/>
        </w:rPr>
        <w:t>.</w:t>
      </w:r>
    </w:p>
    <w:p w14:paraId="3E43F30D" w14:textId="77777777" w:rsidR="00490485" w:rsidRDefault="00490485" w:rsidP="00490485">
      <w:pPr>
        <w:pStyle w:val="Sangra2detindependiente"/>
        <w:ind w:left="0" w:firstLine="0"/>
        <w:rPr>
          <w:rFonts w:ascii="Tahoma" w:hAnsi="Tahoma" w:cs="Tahoma"/>
          <w:sz w:val="22"/>
          <w:szCs w:val="22"/>
        </w:rPr>
      </w:pPr>
    </w:p>
    <w:p w14:paraId="19622B5C" w14:textId="27E354DD" w:rsidR="00490485" w:rsidRPr="00490485" w:rsidRDefault="00490485" w:rsidP="00490485">
      <w:pPr>
        <w:pStyle w:val="Textoindependiente"/>
        <w:tabs>
          <w:tab w:val="left" w:pos="142"/>
        </w:tabs>
        <w:jc w:val="both"/>
        <w:rPr>
          <w:rFonts w:ascii="Tahoma" w:hAnsi="Tahoma" w:cs="Tahoma"/>
          <w:b w:val="0"/>
          <w:bCs/>
          <w:sz w:val="22"/>
          <w:szCs w:val="22"/>
        </w:rPr>
      </w:pPr>
      <w:r>
        <w:rPr>
          <w:rFonts w:ascii="Tahoma" w:hAnsi="Tahoma" w:cs="Tahoma"/>
          <w:b w:val="0"/>
          <w:bCs/>
          <w:sz w:val="22"/>
          <w:szCs w:val="22"/>
          <w:shd w:val="clear" w:color="auto" w:fill="FFFFFF"/>
        </w:rPr>
        <w:t xml:space="preserve">Según la nueva normativa, en </w:t>
      </w:r>
      <w:r w:rsidRPr="00490485">
        <w:rPr>
          <w:rFonts w:ascii="Tahoma" w:hAnsi="Tahoma" w:cs="Tahoma"/>
          <w:b w:val="0"/>
          <w:bCs/>
          <w:sz w:val="22"/>
          <w:szCs w:val="22"/>
          <w:shd w:val="clear" w:color="auto" w:fill="FFFFFF"/>
        </w:rPr>
        <w:t>la primera venta de un productor primario al siguiente operador de la </w:t>
      </w:r>
      <w:r w:rsidRPr="00490485">
        <w:rPr>
          <w:rFonts w:ascii="Tahoma" w:hAnsi="Tahoma" w:cs="Tahoma"/>
          <w:b w:val="0"/>
          <w:bCs/>
          <w:sz w:val="22"/>
          <w:szCs w:val="22"/>
        </w:rPr>
        <w:t>cadena</w:t>
      </w:r>
      <w:r w:rsidRPr="00490485">
        <w:rPr>
          <w:rFonts w:ascii="Tahoma" w:hAnsi="Tahoma" w:cs="Tahoma"/>
          <w:b w:val="0"/>
          <w:bCs/>
          <w:sz w:val="22"/>
          <w:szCs w:val="22"/>
          <w:shd w:val="clear" w:color="auto" w:fill="FFFFFF"/>
        </w:rPr>
        <w:t>, el precio </w:t>
      </w:r>
      <w:r w:rsidRPr="00490485">
        <w:rPr>
          <w:rFonts w:ascii="Tahoma" w:hAnsi="Tahoma" w:cs="Tahoma"/>
          <w:b w:val="0"/>
          <w:bCs/>
          <w:sz w:val="22"/>
          <w:szCs w:val="22"/>
        </w:rPr>
        <w:t>que</w:t>
      </w:r>
      <w:r w:rsidRPr="00490485">
        <w:rPr>
          <w:rFonts w:ascii="Tahoma" w:hAnsi="Tahoma" w:cs="Tahoma"/>
          <w:b w:val="0"/>
          <w:bCs/>
          <w:sz w:val="22"/>
          <w:szCs w:val="22"/>
          <w:shd w:val="clear" w:color="auto" w:fill="FFFFFF"/>
        </w:rPr>
        <w:t> se establezca debe ser obligatoriamente superior al total de los costes asumidos por el productor. A partir de ese precio, en los siguientes eslabones el precio siempre será igual o superior.</w:t>
      </w:r>
    </w:p>
    <w:p w14:paraId="7DD2FE3D" w14:textId="77777777" w:rsidR="00490485" w:rsidRDefault="00490485" w:rsidP="00490485">
      <w:pPr>
        <w:pStyle w:val="Sangra2detindependiente"/>
        <w:ind w:left="0" w:firstLine="0"/>
        <w:rPr>
          <w:rFonts w:ascii="Tahoma" w:hAnsi="Tahoma" w:cs="Tahoma"/>
          <w:sz w:val="22"/>
          <w:szCs w:val="22"/>
        </w:rPr>
      </w:pPr>
    </w:p>
    <w:p w14:paraId="61293C89" w14:textId="1F8C77BE" w:rsidR="00901549" w:rsidRDefault="00901549" w:rsidP="00490485">
      <w:pPr>
        <w:pStyle w:val="Sangra2detindependiente"/>
        <w:ind w:left="0" w:firstLine="0"/>
        <w:rPr>
          <w:rFonts w:ascii="Tahoma" w:hAnsi="Tahoma" w:cs="Tahoma"/>
          <w:sz w:val="22"/>
          <w:szCs w:val="22"/>
        </w:rPr>
      </w:pPr>
      <w:r>
        <w:rPr>
          <w:rFonts w:ascii="Tahoma" w:hAnsi="Tahoma" w:cs="Tahoma"/>
          <w:sz w:val="22"/>
          <w:szCs w:val="22"/>
        </w:rPr>
        <w:t>La apertura de la jornada correrá a cargo de Carlos Prior, director territorial de Eurocaja Rural, y Javier Cuadrado Ayuso, presidente de la Asociación de Empresarios de Vinos de Albacete, integrada en FEDA.</w:t>
      </w:r>
    </w:p>
    <w:p w14:paraId="0CF57F6A" w14:textId="77777777" w:rsidR="00901549" w:rsidRDefault="00901549" w:rsidP="00490485">
      <w:pPr>
        <w:pStyle w:val="Sangra2detindependiente"/>
        <w:ind w:left="0" w:firstLine="0"/>
        <w:rPr>
          <w:rFonts w:ascii="Tahoma" w:hAnsi="Tahoma" w:cs="Tahoma"/>
          <w:sz w:val="22"/>
          <w:szCs w:val="22"/>
        </w:rPr>
      </w:pPr>
    </w:p>
    <w:p w14:paraId="7DAB5DB7" w14:textId="7166E22E" w:rsidR="0011036F" w:rsidRDefault="00901549" w:rsidP="0011036F">
      <w:pPr>
        <w:pStyle w:val="Sangra2detindependiente"/>
        <w:ind w:left="0" w:firstLine="0"/>
        <w:rPr>
          <w:rFonts w:ascii="Tahoma" w:hAnsi="Tahoma" w:cs="Tahoma"/>
          <w:bCs/>
          <w:color w:val="003366"/>
          <w:sz w:val="22"/>
          <w:szCs w:val="22"/>
        </w:rPr>
      </w:pPr>
      <w:r>
        <w:rPr>
          <w:rFonts w:ascii="Tahoma" w:hAnsi="Tahoma" w:cs="Tahoma"/>
          <w:sz w:val="22"/>
          <w:szCs w:val="22"/>
        </w:rPr>
        <w:t xml:space="preserve">La primera de las intervenciones correrá a cargo de </w:t>
      </w:r>
      <w:hyperlink r:id="rId14" w:history="1">
        <w:r>
          <w:rPr>
            <w:rStyle w:val="Hipervnculo"/>
            <w:rFonts w:ascii="Tahoma" w:hAnsi="Tahoma" w:cs="Tahoma"/>
            <w:bCs/>
            <w:sz w:val="22"/>
            <w:szCs w:val="22"/>
          </w:rPr>
          <w:t>Trinidad Márquez García</w:t>
        </w:r>
      </w:hyperlink>
      <w:r>
        <w:rPr>
          <w:rFonts w:ascii="Tahoma" w:hAnsi="Tahoma" w:cs="Tahoma"/>
          <w:bCs/>
          <w:color w:val="003366"/>
          <w:sz w:val="22"/>
          <w:szCs w:val="22"/>
        </w:rPr>
        <w:t xml:space="preserve">, </w:t>
      </w:r>
      <w:r w:rsidRPr="0011036F">
        <w:rPr>
          <w:rFonts w:ascii="Tahoma" w:hAnsi="Tahoma" w:cs="Tahoma"/>
          <w:bCs/>
          <w:sz w:val="22"/>
          <w:szCs w:val="22"/>
        </w:rPr>
        <w:t xml:space="preserve">subdirectora general y directora técnica </w:t>
      </w:r>
      <w:hyperlink r:id="rId15" w:history="1">
        <w:r>
          <w:rPr>
            <w:rStyle w:val="Hipervnculo"/>
            <w:rFonts w:ascii="Tahoma" w:hAnsi="Tahoma" w:cs="Tahoma"/>
            <w:bCs/>
            <w:sz w:val="22"/>
            <w:szCs w:val="22"/>
          </w:rPr>
          <w:t>Federación Española del Vino, FEV</w:t>
        </w:r>
      </w:hyperlink>
      <w:r>
        <w:rPr>
          <w:rFonts w:ascii="Tahoma" w:hAnsi="Tahoma" w:cs="Tahoma"/>
          <w:bCs/>
          <w:color w:val="003366"/>
          <w:sz w:val="22"/>
          <w:szCs w:val="22"/>
        </w:rPr>
        <w:t xml:space="preserve">, </w:t>
      </w:r>
      <w:r w:rsidRPr="00901549">
        <w:rPr>
          <w:rFonts w:ascii="Tahoma" w:hAnsi="Tahoma" w:cs="Tahoma"/>
          <w:bCs/>
          <w:sz w:val="22"/>
          <w:szCs w:val="22"/>
        </w:rPr>
        <w:t xml:space="preserve">quien hará su exposición sobre la adaptación del sector del vino a los nuevos retos en materia de envases. </w:t>
      </w:r>
      <w:r w:rsidR="0011036F">
        <w:rPr>
          <w:rFonts w:ascii="Tahoma" w:hAnsi="Tahoma" w:cs="Tahoma"/>
          <w:bCs/>
          <w:sz w:val="22"/>
          <w:szCs w:val="22"/>
        </w:rPr>
        <w:t xml:space="preserve">Seguidamente, se </w:t>
      </w:r>
      <w:r w:rsidR="0011036F" w:rsidRPr="0011036F">
        <w:rPr>
          <w:rFonts w:ascii="Tahoma" w:hAnsi="Tahoma" w:cs="Tahoma"/>
          <w:bCs/>
          <w:sz w:val="22"/>
          <w:szCs w:val="22"/>
        </w:rPr>
        <w:t xml:space="preserve">analizará normativa de envases y servicios a las empresas. </w:t>
      </w:r>
      <w:hyperlink r:id="rId16" w:history="1">
        <w:r w:rsidR="0011036F">
          <w:rPr>
            <w:rStyle w:val="Hipervnculo"/>
            <w:rFonts w:ascii="Tahoma" w:hAnsi="Tahoma" w:cs="Tahoma"/>
            <w:bCs/>
            <w:sz w:val="22"/>
            <w:szCs w:val="22"/>
          </w:rPr>
          <w:t>Sandra Anguiano</w:t>
        </w:r>
      </w:hyperlink>
      <w:r w:rsidR="0011036F">
        <w:rPr>
          <w:rFonts w:ascii="Tahoma" w:hAnsi="Tahoma" w:cs="Tahoma"/>
          <w:bCs/>
          <w:color w:val="003366"/>
          <w:sz w:val="22"/>
          <w:szCs w:val="22"/>
        </w:rPr>
        <w:t xml:space="preserve">, </w:t>
      </w:r>
      <w:r w:rsidR="0011036F" w:rsidRPr="0011036F">
        <w:rPr>
          <w:rFonts w:ascii="Tahoma" w:hAnsi="Tahoma" w:cs="Tahoma"/>
          <w:bCs/>
          <w:sz w:val="22"/>
          <w:szCs w:val="22"/>
        </w:rPr>
        <w:t xml:space="preserve">directora </w:t>
      </w:r>
      <w:r w:rsidR="0011036F">
        <w:rPr>
          <w:rFonts w:ascii="Tahoma" w:hAnsi="Tahoma" w:cs="Tahoma"/>
          <w:bCs/>
          <w:sz w:val="22"/>
          <w:szCs w:val="22"/>
        </w:rPr>
        <w:t>a</w:t>
      </w:r>
      <w:r w:rsidR="0011036F" w:rsidRPr="0011036F">
        <w:rPr>
          <w:rFonts w:ascii="Tahoma" w:hAnsi="Tahoma" w:cs="Tahoma"/>
          <w:bCs/>
          <w:sz w:val="22"/>
          <w:szCs w:val="22"/>
        </w:rPr>
        <w:t xml:space="preserve">suntos </w:t>
      </w:r>
      <w:r w:rsidR="0011036F">
        <w:rPr>
          <w:rFonts w:ascii="Tahoma" w:hAnsi="Tahoma" w:cs="Tahoma"/>
          <w:bCs/>
          <w:sz w:val="22"/>
          <w:szCs w:val="22"/>
        </w:rPr>
        <w:t>p</w:t>
      </w:r>
      <w:r w:rsidR="0011036F" w:rsidRPr="0011036F">
        <w:rPr>
          <w:rFonts w:ascii="Tahoma" w:hAnsi="Tahoma" w:cs="Tahoma"/>
          <w:bCs/>
          <w:sz w:val="22"/>
          <w:szCs w:val="22"/>
        </w:rPr>
        <w:t xml:space="preserve">úblicos en </w:t>
      </w:r>
      <w:hyperlink r:id="rId17" w:history="1">
        <w:r w:rsidR="0011036F">
          <w:rPr>
            <w:rStyle w:val="Hipervnculo"/>
            <w:rFonts w:ascii="Tahoma" w:hAnsi="Tahoma" w:cs="Tahoma"/>
            <w:bCs/>
            <w:sz w:val="22"/>
            <w:szCs w:val="22"/>
          </w:rPr>
          <w:t>Ecovidrio</w:t>
        </w:r>
      </w:hyperlink>
      <w:r w:rsidR="0011036F">
        <w:rPr>
          <w:rFonts w:ascii="Tahoma" w:hAnsi="Tahoma" w:cs="Tahoma"/>
          <w:bCs/>
          <w:color w:val="003366"/>
          <w:sz w:val="22"/>
          <w:szCs w:val="22"/>
        </w:rPr>
        <w:t>.</w:t>
      </w:r>
    </w:p>
    <w:p w14:paraId="310B9501" w14:textId="32372593" w:rsidR="0011036F" w:rsidRDefault="0011036F" w:rsidP="0011036F">
      <w:pPr>
        <w:pStyle w:val="Sangra2detindependiente"/>
        <w:ind w:left="0" w:firstLine="0"/>
        <w:rPr>
          <w:rFonts w:ascii="Tahoma" w:hAnsi="Tahoma" w:cs="Tahoma"/>
          <w:bCs/>
          <w:sz w:val="22"/>
          <w:szCs w:val="22"/>
        </w:rPr>
      </w:pPr>
    </w:p>
    <w:p w14:paraId="3755F923" w14:textId="33963979" w:rsidR="0011036F" w:rsidRDefault="0011036F" w:rsidP="0011036F">
      <w:pPr>
        <w:pStyle w:val="Sangra2detindependiente"/>
        <w:ind w:left="0" w:firstLine="0"/>
        <w:rPr>
          <w:rFonts w:ascii="Tahoma" w:hAnsi="Tahoma" w:cs="Tahoma"/>
          <w:color w:val="003366"/>
          <w:sz w:val="22"/>
          <w:szCs w:val="22"/>
        </w:rPr>
      </w:pPr>
      <w:r>
        <w:rPr>
          <w:rFonts w:ascii="Tahoma" w:hAnsi="Tahoma" w:cs="Tahoma"/>
          <w:bCs/>
          <w:sz w:val="22"/>
          <w:szCs w:val="22"/>
        </w:rPr>
        <w:t xml:space="preserve">Por último, antes del coloquio para aclarar dudas y casuística, se abordará la aplicación de la ley de la cadena alimentaria en el sector del vino, a cargo de </w:t>
      </w:r>
      <w:hyperlink r:id="rId18" w:history="1">
        <w:r>
          <w:rPr>
            <w:rStyle w:val="Hipervnculo"/>
            <w:rFonts w:ascii="Tahoma" w:hAnsi="Tahoma" w:cs="Tahoma"/>
            <w:sz w:val="22"/>
            <w:szCs w:val="22"/>
          </w:rPr>
          <w:t xml:space="preserve">Paola </w:t>
        </w:r>
        <w:proofErr w:type="spellStart"/>
        <w:r>
          <w:rPr>
            <w:rStyle w:val="Hipervnculo"/>
            <w:rFonts w:ascii="Tahoma" w:hAnsi="Tahoma" w:cs="Tahoma"/>
            <w:sz w:val="22"/>
            <w:szCs w:val="22"/>
          </w:rPr>
          <w:t>Hiscock</w:t>
        </w:r>
        <w:proofErr w:type="spellEnd"/>
        <w:r>
          <w:rPr>
            <w:rStyle w:val="Hipervnculo"/>
            <w:rFonts w:ascii="Tahoma" w:hAnsi="Tahoma" w:cs="Tahoma"/>
            <w:sz w:val="22"/>
            <w:szCs w:val="22"/>
          </w:rPr>
          <w:t xml:space="preserve"> García</w:t>
        </w:r>
      </w:hyperlink>
      <w:r>
        <w:rPr>
          <w:rFonts w:ascii="Tahoma" w:hAnsi="Tahoma" w:cs="Tahoma"/>
          <w:color w:val="003366"/>
          <w:sz w:val="22"/>
          <w:szCs w:val="22"/>
        </w:rPr>
        <w:t xml:space="preserve">. </w:t>
      </w:r>
      <w:r>
        <w:rPr>
          <w:rFonts w:ascii="Tahoma" w:hAnsi="Tahoma" w:cs="Tahoma"/>
          <w:sz w:val="22"/>
          <w:szCs w:val="22"/>
        </w:rPr>
        <w:t>d</w:t>
      </w:r>
      <w:r w:rsidRPr="0011036F">
        <w:rPr>
          <w:rFonts w:ascii="Tahoma" w:hAnsi="Tahoma" w:cs="Tahoma"/>
          <w:sz w:val="22"/>
          <w:szCs w:val="22"/>
        </w:rPr>
        <w:t xml:space="preserve">irectora </w:t>
      </w:r>
      <w:r>
        <w:rPr>
          <w:rFonts w:ascii="Tahoma" w:hAnsi="Tahoma" w:cs="Tahoma"/>
          <w:sz w:val="22"/>
          <w:szCs w:val="22"/>
        </w:rPr>
        <w:t>j</w:t>
      </w:r>
      <w:r w:rsidRPr="0011036F">
        <w:rPr>
          <w:rFonts w:ascii="Tahoma" w:hAnsi="Tahoma" w:cs="Tahoma"/>
          <w:sz w:val="22"/>
          <w:szCs w:val="22"/>
        </w:rPr>
        <w:t xml:space="preserve">urídica </w:t>
      </w:r>
      <w:hyperlink r:id="rId19" w:history="1">
        <w:r>
          <w:rPr>
            <w:rStyle w:val="Hipervnculo"/>
            <w:rFonts w:ascii="Tahoma" w:hAnsi="Tahoma" w:cs="Tahoma"/>
            <w:bCs/>
            <w:sz w:val="22"/>
            <w:szCs w:val="22"/>
          </w:rPr>
          <w:t>Federación Española del Vino, FEV</w:t>
        </w:r>
      </w:hyperlink>
      <w:r>
        <w:rPr>
          <w:rFonts w:ascii="Tahoma" w:hAnsi="Tahoma" w:cs="Tahoma"/>
          <w:bCs/>
          <w:color w:val="003366"/>
          <w:sz w:val="22"/>
          <w:szCs w:val="22"/>
        </w:rPr>
        <w:t>.</w:t>
      </w:r>
    </w:p>
    <w:p w14:paraId="5D61E24C" w14:textId="784386E2" w:rsidR="00901549" w:rsidRPr="00901549" w:rsidRDefault="00901549" w:rsidP="00490485">
      <w:pPr>
        <w:pStyle w:val="Sangra2detindependiente"/>
        <w:ind w:left="0" w:firstLine="0"/>
        <w:rPr>
          <w:rFonts w:ascii="Tahoma" w:hAnsi="Tahoma" w:cs="Tahoma"/>
          <w:sz w:val="22"/>
          <w:szCs w:val="22"/>
        </w:rPr>
      </w:pPr>
    </w:p>
    <w:p w14:paraId="08F2A336" w14:textId="77777777" w:rsidR="00E1585C" w:rsidRDefault="00E1585C" w:rsidP="00E1585C">
      <w:pPr>
        <w:pStyle w:val="Sangra2detindependiente"/>
        <w:ind w:firstLine="0"/>
        <w:jc w:val="center"/>
        <w:rPr>
          <w:rFonts w:ascii="Tahoma" w:hAnsi="Tahoma" w:cs="Tahoma"/>
          <w:color w:val="003366"/>
          <w:sz w:val="22"/>
          <w:szCs w:val="22"/>
        </w:rPr>
      </w:pPr>
    </w:p>
    <w:p w14:paraId="003D5C69" w14:textId="77777777" w:rsidR="00E1585C" w:rsidRDefault="00E1585C" w:rsidP="00E1585C">
      <w:pPr>
        <w:pStyle w:val="Sangra2detindependiente"/>
        <w:ind w:firstLine="0"/>
        <w:rPr>
          <w:rFonts w:ascii="Tahoma" w:hAnsi="Tahoma" w:cs="Tahoma"/>
          <w:b/>
          <w:bCs/>
          <w:color w:val="003366"/>
          <w:sz w:val="22"/>
          <w:szCs w:val="22"/>
        </w:rPr>
      </w:pPr>
    </w:p>
    <w:p w14:paraId="430032B7" w14:textId="2ACCF5FB" w:rsidR="00E1585C" w:rsidRDefault="00E1585C" w:rsidP="00E1585C">
      <w:pPr>
        <w:pStyle w:val="Sangra2detindependiente"/>
        <w:ind w:left="708" w:firstLine="0"/>
        <w:rPr>
          <w:rStyle w:val="Hipervnculo"/>
          <w:color w:val="003366"/>
          <w:u w:val="none"/>
        </w:rPr>
      </w:pPr>
      <w:r>
        <w:rPr>
          <w:rFonts w:ascii="Tahoma" w:hAnsi="Tahoma" w:cs="Tahoma"/>
          <w:bCs/>
          <w:color w:val="003366"/>
          <w:sz w:val="22"/>
          <w:szCs w:val="22"/>
        </w:rPr>
        <w:t>.</w:t>
      </w:r>
    </w:p>
    <w:p w14:paraId="79A6751D" w14:textId="77777777" w:rsidR="00E1585C" w:rsidRDefault="00E1585C" w:rsidP="00E1585C">
      <w:pPr>
        <w:pStyle w:val="Sangra2detindependiente"/>
        <w:ind w:left="708" w:firstLine="0"/>
      </w:pPr>
    </w:p>
    <w:sectPr w:rsidR="00E1585C" w:rsidSect="00702694">
      <w:headerReference w:type="default" r:id="rId20"/>
      <w:footerReference w:type="even" r:id="rId21"/>
      <w:footerReference w:type="default" r:id="rId2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97A42" w14:textId="77777777" w:rsidR="006758A8" w:rsidRDefault="006758A8">
      <w:r>
        <w:separator/>
      </w:r>
    </w:p>
  </w:endnote>
  <w:endnote w:type="continuationSeparator" w:id="0">
    <w:p w14:paraId="705446E0" w14:textId="77777777" w:rsidR="006758A8" w:rsidRDefault="00675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000000"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000000"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00000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000000"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00000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000000"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2C38" w14:textId="77777777" w:rsidR="006758A8" w:rsidRDefault="006758A8">
      <w:r>
        <w:separator/>
      </w:r>
    </w:p>
  </w:footnote>
  <w:footnote w:type="continuationSeparator" w:id="0">
    <w:p w14:paraId="29C41956" w14:textId="77777777" w:rsidR="006758A8" w:rsidRDefault="00675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9"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9"/>
  </w:num>
  <w:num w:numId="7" w16cid:durableId="1465738062">
    <w:abstractNumId w:val="10"/>
  </w:num>
  <w:num w:numId="8" w16cid:durableId="190921856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58A8"/>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09D"/>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feda/asociaciones-junta-directiva/item/6819-asociacion-de-empresarios-de-vinos-de-albacete" TargetMode="External"/><Relationship Id="rId18" Type="http://schemas.openxmlformats.org/officeDocument/2006/relationships/hyperlink" Target="https://www.linkedin.com/in/paola-hiscock-garc%C3%ADa-70b885115/?originalSubdomain=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ecam.es/sobre-cecam/organigrama/" TargetMode="External"/><Relationship Id="rId17" Type="http://schemas.openxmlformats.org/officeDocument/2006/relationships/hyperlink" Target="https://www.ecovidrio.es/" TargetMode="External"/><Relationship Id="rId2" Type="http://schemas.openxmlformats.org/officeDocument/2006/relationships/numbering" Target="numbering.xml"/><Relationship Id="rId16" Type="http://schemas.openxmlformats.org/officeDocument/2006/relationships/hyperlink" Target="https://www.linkedin.com/in/sandra-anguiano-91572b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v.es/fev/socios-a-traves-de-asociaciones/fevin_2630_266_2884_0_1_in.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ev.es/es/" TargetMode="External"/><Relationship Id="rId23" Type="http://schemas.openxmlformats.org/officeDocument/2006/relationships/fontTable" Target="fontTable.xml"/><Relationship Id="rId10" Type="http://schemas.openxmlformats.org/officeDocument/2006/relationships/hyperlink" Target="https://www.feda.es/feda/asociaciones-junta-directiva/item/6819-asociacion-de-empresarios-de-vinos-de-albacete" TargetMode="External"/><Relationship Id="rId19" Type="http://schemas.openxmlformats.org/officeDocument/2006/relationships/hyperlink" Target="https://www.fev.es/es/" TargetMode="External"/><Relationship Id="rId4" Type="http://schemas.openxmlformats.org/officeDocument/2006/relationships/settings" Target="settings.xml"/><Relationship Id="rId9" Type="http://schemas.openxmlformats.org/officeDocument/2006/relationships/hyperlink" Target="https://eurocajarural.es/autonomos/pro-autonomos" TargetMode="External"/><Relationship Id="rId14" Type="http://schemas.openxmlformats.org/officeDocument/2006/relationships/hyperlink" Target="https://www.linkedin.com/in/trinidadmarquez/"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467</Words>
  <Characters>2573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3034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2021-03-16T11:17:00Z</cp:lastPrinted>
  <dcterms:created xsi:type="dcterms:W3CDTF">2024-10-29T12:01:00Z</dcterms:created>
  <dcterms:modified xsi:type="dcterms:W3CDTF">2024-10-29T12:05:00Z</dcterms:modified>
</cp:coreProperties>
</file>