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7E7A1" w14:textId="4026A496" w:rsidR="00957522" w:rsidRDefault="00957522" w:rsidP="00F97452">
      <w:pPr>
        <w:pStyle w:val="Textoindependiente"/>
        <w:tabs>
          <w:tab w:val="left" w:pos="142"/>
        </w:tabs>
        <w:jc w:val="right"/>
        <w:rPr>
          <w:rFonts w:ascii="Tahoma" w:hAnsi="Tahoma" w:cs="Tahoma"/>
          <w:b w:val="0"/>
          <w:bCs/>
          <w:sz w:val="22"/>
          <w:szCs w:val="22"/>
        </w:rPr>
      </w:pPr>
    </w:p>
    <w:p w14:paraId="4DADBEE4" w14:textId="77777777" w:rsidR="00E1585C" w:rsidRDefault="00E1585C" w:rsidP="00E1585C">
      <w:pPr>
        <w:pStyle w:val="Sangra2detindependiente"/>
        <w:spacing w:line="276" w:lineRule="auto"/>
        <w:ind w:firstLine="0"/>
        <w:jc w:val="center"/>
        <w:rPr>
          <w:rFonts w:ascii="Tahoma" w:hAnsi="Tahoma" w:cs="Tahoma"/>
          <w:b/>
          <w:bCs/>
          <w:color w:val="A50021"/>
          <w:sz w:val="32"/>
          <w:szCs w:val="22"/>
          <w:u w:val="single"/>
        </w:rPr>
      </w:pPr>
    </w:p>
    <w:p w14:paraId="27977A22" w14:textId="291E60EF" w:rsidR="002C47A0" w:rsidRPr="00DF222D" w:rsidRDefault="002C47A0" w:rsidP="002C47A0">
      <w:pPr>
        <w:pStyle w:val="Textoindependiente"/>
        <w:jc w:val="right"/>
        <w:rPr>
          <w:rFonts w:ascii="Tahoma" w:hAnsi="Tahoma" w:cs="Tahoma"/>
          <w:b w:val="0"/>
          <w:bCs/>
          <w:sz w:val="22"/>
          <w:szCs w:val="22"/>
        </w:rPr>
      </w:pPr>
      <w:r w:rsidRPr="00DF222D">
        <w:rPr>
          <w:rFonts w:ascii="Tahoma" w:hAnsi="Tahoma" w:cs="Tahoma"/>
          <w:b w:val="0"/>
          <w:bCs/>
          <w:sz w:val="22"/>
          <w:szCs w:val="22"/>
        </w:rPr>
        <w:t xml:space="preserve">Albacete, </w:t>
      </w:r>
      <w:r w:rsidR="00CF7DE4" w:rsidRPr="00DF222D">
        <w:rPr>
          <w:rFonts w:ascii="Tahoma" w:hAnsi="Tahoma" w:cs="Tahoma"/>
          <w:b w:val="0"/>
          <w:bCs/>
          <w:sz w:val="22"/>
          <w:szCs w:val="22"/>
        </w:rPr>
        <w:t>5</w:t>
      </w:r>
      <w:r w:rsidRPr="00DF222D">
        <w:rPr>
          <w:rFonts w:ascii="Tahoma" w:hAnsi="Tahoma" w:cs="Tahoma"/>
          <w:b w:val="0"/>
          <w:bCs/>
          <w:sz w:val="22"/>
          <w:szCs w:val="22"/>
        </w:rPr>
        <w:t xml:space="preserve"> noviembre 2024</w:t>
      </w:r>
    </w:p>
    <w:p w14:paraId="79352CCF" w14:textId="77777777" w:rsidR="002C47A0" w:rsidRDefault="002C47A0" w:rsidP="002C47A0">
      <w:pPr>
        <w:pStyle w:val="Textoindependiente"/>
        <w:jc w:val="right"/>
        <w:rPr>
          <w:rFonts w:ascii="Tahoma" w:hAnsi="Tahoma" w:cs="Tahoma"/>
          <w:b w:val="0"/>
          <w:bCs/>
          <w:sz w:val="24"/>
        </w:rPr>
      </w:pPr>
    </w:p>
    <w:p w14:paraId="080505D3" w14:textId="14CBF3A6" w:rsidR="002C47A0" w:rsidRPr="00CF7DE4" w:rsidRDefault="002C47A0" w:rsidP="002C47A0">
      <w:pPr>
        <w:pStyle w:val="Textoindependiente3"/>
        <w:jc w:val="center"/>
        <w:rPr>
          <w:rFonts w:ascii="Tahoma" w:hAnsi="Tahoma" w:cs="Tahoma"/>
          <w:sz w:val="32"/>
          <w:szCs w:val="32"/>
        </w:rPr>
      </w:pPr>
      <w:r w:rsidRPr="00CF7DE4">
        <w:rPr>
          <w:rFonts w:ascii="Tahoma" w:hAnsi="Tahoma" w:cs="Tahoma"/>
          <w:sz w:val="32"/>
          <w:szCs w:val="32"/>
        </w:rPr>
        <w:t>La Asociación de Empresarios de Vinos aborda la</w:t>
      </w:r>
      <w:r w:rsidR="003201CD">
        <w:rPr>
          <w:rFonts w:ascii="Tahoma" w:hAnsi="Tahoma" w:cs="Tahoma"/>
          <w:sz w:val="32"/>
          <w:szCs w:val="32"/>
        </w:rPr>
        <w:t>s</w:t>
      </w:r>
      <w:r w:rsidRPr="00CF7DE4">
        <w:rPr>
          <w:rFonts w:ascii="Tahoma" w:hAnsi="Tahoma" w:cs="Tahoma"/>
          <w:sz w:val="32"/>
          <w:szCs w:val="32"/>
        </w:rPr>
        <w:t xml:space="preserve"> </w:t>
      </w:r>
      <w:r w:rsidR="00CF7DE4">
        <w:rPr>
          <w:rFonts w:ascii="Tahoma" w:hAnsi="Tahoma" w:cs="Tahoma"/>
          <w:sz w:val="32"/>
          <w:szCs w:val="32"/>
        </w:rPr>
        <w:t xml:space="preserve">obligaciones en materia de </w:t>
      </w:r>
      <w:r w:rsidR="00CF7DE4" w:rsidRPr="00CF7DE4">
        <w:rPr>
          <w:rFonts w:ascii="Tahoma" w:hAnsi="Tahoma" w:cs="Tahoma"/>
          <w:sz w:val="32"/>
          <w:szCs w:val="32"/>
        </w:rPr>
        <w:t xml:space="preserve">envases, etiquetado de residuos y la </w:t>
      </w:r>
      <w:r w:rsidRPr="00CF7DE4">
        <w:rPr>
          <w:rFonts w:ascii="Tahoma" w:hAnsi="Tahoma" w:cs="Tahoma"/>
          <w:sz w:val="32"/>
          <w:szCs w:val="32"/>
        </w:rPr>
        <w:t xml:space="preserve">Ley de la Cadena </w:t>
      </w:r>
      <w:r w:rsidR="00CF7DE4">
        <w:rPr>
          <w:rFonts w:ascii="Tahoma" w:hAnsi="Tahoma" w:cs="Tahoma"/>
          <w:sz w:val="32"/>
          <w:szCs w:val="32"/>
        </w:rPr>
        <w:t>A</w:t>
      </w:r>
      <w:r w:rsidRPr="00CF7DE4">
        <w:rPr>
          <w:rFonts w:ascii="Tahoma" w:hAnsi="Tahoma" w:cs="Tahoma"/>
          <w:sz w:val="32"/>
          <w:szCs w:val="32"/>
        </w:rPr>
        <w:t xml:space="preserve">limentaria en el sector </w:t>
      </w:r>
    </w:p>
    <w:p w14:paraId="43BD369C" w14:textId="77777777" w:rsidR="002C47A0" w:rsidRPr="00CF7DE4" w:rsidRDefault="002C47A0" w:rsidP="002C47A0">
      <w:pPr>
        <w:pStyle w:val="Textoindependiente3"/>
        <w:rPr>
          <w:rFonts w:ascii="Tahoma" w:hAnsi="Tahoma" w:cs="Tahoma"/>
          <w:sz w:val="32"/>
          <w:szCs w:val="32"/>
        </w:rPr>
      </w:pPr>
    </w:p>
    <w:p w14:paraId="4CE4D909" w14:textId="4701C177" w:rsidR="002C47A0" w:rsidRPr="00DF222D" w:rsidRDefault="002C47A0" w:rsidP="00DF222D">
      <w:pPr>
        <w:pStyle w:val="Prrafodelista"/>
        <w:numPr>
          <w:ilvl w:val="0"/>
          <w:numId w:val="9"/>
        </w:numPr>
        <w:shd w:val="clear" w:color="auto" w:fill="FFFFFF"/>
        <w:spacing w:line="240" w:lineRule="auto"/>
        <w:jc w:val="center"/>
        <w:rPr>
          <w:rFonts w:ascii="Tahoma" w:hAnsi="Tahoma" w:cs="Tahoma"/>
          <w:b/>
          <w:bCs/>
        </w:rPr>
      </w:pPr>
      <w:r w:rsidRPr="00DF222D">
        <w:rPr>
          <w:rFonts w:ascii="Tahoma" w:hAnsi="Tahoma" w:cs="Tahoma"/>
          <w:b/>
          <w:bCs/>
        </w:rPr>
        <w:t>Esta jornada se llevó a cabo gracias al patrocinio de Eurocaja Rural y la colaboración de la Federación Regional de Vinos, Alcoholes y Mostos de Castilla-La Mancha, FEVIN y la Federación Española del Vino, FEV</w:t>
      </w:r>
    </w:p>
    <w:p w14:paraId="28E42628" w14:textId="77777777" w:rsidR="00A51C14" w:rsidRDefault="00A51C14" w:rsidP="002C47A0">
      <w:pPr>
        <w:shd w:val="clear" w:color="auto" w:fill="FFFFFF"/>
        <w:jc w:val="center"/>
        <w:rPr>
          <w:rFonts w:ascii="Tahoma" w:hAnsi="Tahoma" w:cs="Tahoma"/>
          <w:szCs w:val="22"/>
        </w:rPr>
      </w:pPr>
    </w:p>
    <w:p w14:paraId="0A63F0D9" w14:textId="5CB394B7" w:rsidR="00A51C14" w:rsidRDefault="00A51C14" w:rsidP="00A51C14">
      <w:pPr>
        <w:shd w:val="clear" w:color="auto" w:fill="FFFFFF"/>
        <w:rPr>
          <w:rFonts w:ascii="Tahoma" w:hAnsi="Tahoma" w:cs="Tahoma"/>
          <w:sz w:val="22"/>
          <w:szCs w:val="22"/>
        </w:rPr>
      </w:pPr>
      <w:r>
        <w:rPr>
          <w:rFonts w:ascii="Tahoma" w:hAnsi="Tahoma" w:cs="Tahoma"/>
          <w:sz w:val="22"/>
          <w:szCs w:val="22"/>
        </w:rPr>
        <w:t xml:space="preserve">Las empresas del sector del vino en la provincia de Albacete pudieron disipar dudas y conocer en profundidad los puntos clave de la normativa actual que les aplica, como las obligaciones en materia regulatoria de envases y la de etiquetado de residuos, en la jornada técnica </w:t>
      </w:r>
      <w:hyperlink r:id="rId8" w:history="1">
        <w:r w:rsidRPr="00CF7DE4">
          <w:rPr>
            <w:rStyle w:val="Hipervnculo"/>
            <w:rFonts w:ascii="Tahoma" w:hAnsi="Tahoma" w:cs="Tahoma"/>
            <w:sz w:val="22"/>
            <w:szCs w:val="22"/>
          </w:rPr>
          <w:t>“Nueva normativa de envases y Ley de la Cadena en el sector vitivinícola”</w:t>
        </w:r>
      </w:hyperlink>
      <w:r>
        <w:rPr>
          <w:rFonts w:ascii="Tahoma" w:hAnsi="Tahoma" w:cs="Tahoma"/>
          <w:sz w:val="22"/>
          <w:szCs w:val="22"/>
        </w:rPr>
        <w:t xml:space="preserve">, organizada por </w:t>
      </w:r>
      <w:hyperlink r:id="rId9" w:history="1">
        <w:r>
          <w:rPr>
            <w:rStyle w:val="Hipervnculo"/>
            <w:rFonts w:ascii="Tahoma" w:hAnsi="Tahoma" w:cs="Tahoma"/>
            <w:sz w:val="22"/>
            <w:szCs w:val="22"/>
          </w:rPr>
          <w:t>FEDA</w:t>
        </w:r>
      </w:hyperlink>
      <w:r>
        <w:rPr>
          <w:rFonts w:ascii="Tahoma" w:hAnsi="Tahoma" w:cs="Tahoma"/>
          <w:sz w:val="22"/>
          <w:szCs w:val="22"/>
        </w:rPr>
        <w:t xml:space="preserve"> y su </w:t>
      </w:r>
      <w:hyperlink r:id="rId10" w:history="1">
        <w:r>
          <w:rPr>
            <w:rStyle w:val="Hipervnculo"/>
            <w:rFonts w:ascii="Tahoma" w:hAnsi="Tahoma" w:cs="Tahoma"/>
            <w:sz w:val="22"/>
            <w:szCs w:val="22"/>
          </w:rPr>
          <w:t>Asociación de Empresarios de Vinos de Albacete, AEVAB</w:t>
        </w:r>
      </w:hyperlink>
      <w:r>
        <w:rPr>
          <w:rFonts w:ascii="Tahoma" w:hAnsi="Tahoma" w:cs="Tahoma"/>
          <w:sz w:val="22"/>
          <w:szCs w:val="22"/>
        </w:rPr>
        <w:t xml:space="preserve">, con la colaboración de </w:t>
      </w:r>
      <w:hyperlink r:id="rId11" w:history="1">
        <w:r w:rsidRPr="00CF7DE4">
          <w:rPr>
            <w:rStyle w:val="Hipervnculo"/>
            <w:rFonts w:ascii="Tahoma" w:hAnsi="Tahoma" w:cs="Tahoma"/>
            <w:sz w:val="22"/>
            <w:szCs w:val="22"/>
          </w:rPr>
          <w:t>Eurocaja Rural</w:t>
        </w:r>
      </w:hyperlink>
      <w:r>
        <w:rPr>
          <w:rFonts w:ascii="Tahoma" w:hAnsi="Tahoma" w:cs="Tahoma"/>
          <w:sz w:val="22"/>
          <w:szCs w:val="22"/>
        </w:rPr>
        <w:t xml:space="preserve">. </w:t>
      </w:r>
    </w:p>
    <w:p w14:paraId="2B7C8CCB" w14:textId="371B5BA5" w:rsidR="00A51C14" w:rsidRDefault="00A51C14" w:rsidP="00A51C14">
      <w:pPr>
        <w:shd w:val="clear" w:color="auto" w:fill="FFFFFF"/>
        <w:rPr>
          <w:rFonts w:ascii="Tahoma" w:hAnsi="Tahoma" w:cs="Tahoma"/>
          <w:sz w:val="22"/>
          <w:szCs w:val="22"/>
        </w:rPr>
      </w:pPr>
    </w:p>
    <w:p w14:paraId="64ECF0F5" w14:textId="57FD0B73" w:rsidR="00A51C14" w:rsidRDefault="00A51C14" w:rsidP="00A51C14">
      <w:pPr>
        <w:shd w:val="clear" w:color="auto" w:fill="FFFFFF"/>
        <w:rPr>
          <w:rFonts w:ascii="Tahoma" w:hAnsi="Tahoma" w:cs="Tahoma"/>
          <w:sz w:val="22"/>
          <w:szCs w:val="22"/>
        </w:rPr>
      </w:pPr>
      <w:r>
        <w:rPr>
          <w:rFonts w:ascii="Tahoma" w:hAnsi="Tahoma" w:cs="Tahoma"/>
          <w:sz w:val="22"/>
          <w:szCs w:val="22"/>
        </w:rPr>
        <w:t>También se analizó cómo llevar a cabo la correcta gestión de los diferentes tipos de envases y todos los detalles de la Responsabilidad Ampliada del Productor (RAP). Finalmente, se explicaron las obligaciones a la hora de aplicar la Ley de la Cadena Alimentaria en el sector vitivinícola, destacando todo lo relacionado con contratos, pagos y requisitos concretos en su aplicación.</w:t>
      </w:r>
    </w:p>
    <w:p w14:paraId="1FC6781F" w14:textId="77777777" w:rsidR="00A51C14" w:rsidRDefault="00A51C14" w:rsidP="002C47A0">
      <w:pPr>
        <w:shd w:val="clear" w:color="auto" w:fill="FFFFFF"/>
        <w:jc w:val="center"/>
        <w:rPr>
          <w:rFonts w:ascii="Tahoma" w:hAnsi="Tahoma" w:cs="Tahoma"/>
          <w:szCs w:val="22"/>
        </w:rPr>
      </w:pPr>
    </w:p>
    <w:p w14:paraId="02670A5C" w14:textId="1A3A2D09" w:rsidR="002C47A0" w:rsidRDefault="00A51C14" w:rsidP="002C47A0">
      <w:pPr>
        <w:shd w:val="clear" w:color="auto" w:fill="FFFFFF"/>
        <w:rPr>
          <w:rFonts w:ascii="Tahoma" w:hAnsi="Tahoma" w:cs="Tahoma"/>
          <w:sz w:val="22"/>
          <w:szCs w:val="22"/>
        </w:rPr>
      </w:pPr>
      <w:r>
        <w:rPr>
          <w:rFonts w:ascii="Tahoma" w:hAnsi="Tahoma" w:cs="Tahoma"/>
          <w:sz w:val="22"/>
          <w:szCs w:val="22"/>
        </w:rPr>
        <w:t xml:space="preserve">El objetivo de esta jornada era que las empresas del sector de la provincia conocieran la nueva normativa en materia de sostenibilidad relacionada con la gestión de los envases, así como los puntos clave de la Ley de la Cadena Alimentaria en el sector vitivinícola, de la mano de expertas de la </w:t>
      </w:r>
      <w:hyperlink r:id="rId12" w:history="1">
        <w:r>
          <w:rPr>
            <w:rStyle w:val="Hipervnculo"/>
            <w:rFonts w:ascii="Tahoma" w:hAnsi="Tahoma" w:cs="Tahoma"/>
            <w:sz w:val="22"/>
            <w:szCs w:val="22"/>
          </w:rPr>
          <w:t>Federación Española del Vino, FEV</w:t>
        </w:r>
      </w:hyperlink>
      <w:r>
        <w:rPr>
          <w:rFonts w:ascii="Tahoma" w:hAnsi="Tahoma" w:cs="Tahoma"/>
          <w:sz w:val="22"/>
          <w:szCs w:val="22"/>
        </w:rPr>
        <w:t xml:space="preserve">. </w:t>
      </w:r>
    </w:p>
    <w:p w14:paraId="2C3C1601" w14:textId="77777777" w:rsidR="00CF7DE4" w:rsidRDefault="00CF7DE4" w:rsidP="002C47A0">
      <w:pPr>
        <w:shd w:val="clear" w:color="auto" w:fill="FFFFFF"/>
        <w:rPr>
          <w:rFonts w:ascii="Tahoma" w:hAnsi="Tahoma" w:cs="Tahoma"/>
          <w:sz w:val="22"/>
          <w:szCs w:val="22"/>
        </w:rPr>
      </w:pPr>
    </w:p>
    <w:p w14:paraId="4EDAFF94" w14:textId="7715CBD9" w:rsidR="002C47A0" w:rsidRDefault="002C47A0" w:rsidP="002C47A0">
      <w:pPr>
        <w:shd w:val="clear" w:color="auto" w:fill="FFFFFF"/>
        <w:rPr>
          <w:rFonts w:ascii="Tahoma" w:hAnsi="Tahoma" w:cs="Tahoma"/>
          <w:sz w:val="22"/>
          <w:szCs w:val="22"/>
        </w:rPr>
      </w:pPr>
      <w:r>
        <w:rPr>
          <w:rFonts w:ascii="Tahoma" w:hAnsi="Tahoma" w:cs="Tahoma"/>
          <w:sz w:val="22"/>
          <w:szCs w:val="22"/>
        </w:rPr>
        <w:t xml:space="preserve">En este caso, </w:t>
      </w:r>
      <w:r w:rsidR="00CF7DE4">
        <w:rPr>
          <w:rFonts w:ascii="Tahoma" w:hAnsi="Tahoma" w:cs="Tahoma"/>
          <w:sz w:val="22"/>
          <w:szCs w:val="22"/>
        </w:rPr>
        <w:t xml:space="preserve">fueron </w:t>
      </w:r>
      <w:hyperlink r:id="rId13" w:history="1">
        <w:r>
          <w:rPr>
            <w:rStyle w:val="Hipervnculo"/>
            <w:rFonts w:ascii="Tahoma" w:hAnsi="Tahoma" w:cs="Tahoma"/>
            <w:sz w:val="22"/>
            <w:szCs w:val="22"/>
          </w:rPr>
          <w:t>Trinidad Márquez García</w:t>
        </w:r>
      </w:hyperlink>
      <w:r>
        <w:rPr>
          <w:rFonts w:ascii="Tahoma" w:hAnsi="Tahoma" w:cs="Tahoma"/>
          <w:sz w:val="22"/>
          <w:szCs w:val="22"/>
        </w:rPr>
        <w:t xml:space="preserve">, subdirectora general y directora técnica de la FEV, y </w:t>
      </w:r>
      <w:hyperlink r:id="rId14" w:history="1">
        <w:r>
          <w:rPr>
            <w:rStyle w:val="Hipervnculo"/>
            <w:rFonts w:ascii="Tahoma" w:hAnsi="Tahoma" w:cs="Tahoma"/>
            <w:sz w:val="22"/>
            <w:szCs w:val="22"/>
          </w:rPr>
          <w:t>Paola Hiscock García</w:t>
        </w:r>
      </w:hyperlink>
      <w:r>
        <w:rPr>
          <w:rFonts w:ascii="Tahoma" w:hAnsi="Tahoma" w:cs="Tahoma"/>
          <w:sz w:val="22"/>
          <w:szCs w:val="22"/>
        </w:rPr>
        <w:t xml:space="preserve">, directora jurídica de la FEV, ya que la asociación, AEVAB, se encuentra integrada en la federación española, y gracias a dicha integración las empresas pueden acceder a este tipo de jornadas técnicas, a webinars formativos, últimas noticias del sector, consultoría técnica personalizada, etc. En esta jornada, los asistentes contaron además con el expertise de </w:t>
      </w:r>
      <w:hyperlink r:id="rId15" w:history="1">
        <w:r>
          <w:rPr>
            <w:rStyle w:val="Hipervnculo"/>
            <w:rFonts w:ascii="Tahoma" w:hAnsi="Tahoma" w:cs="Tahoma"/>
            <w:sz w:val="22"/>
            <w:szCs w:val="22"/>
          </w:rPr>
          <w:t>Sandra Anguiano</w:t>
        </w:r>
      </w:hyperlink>
      <w:r>
        <w:rPr>
          <w:rFonts w:ascii="Tahoma" w:hAnsi="Tahoma" w:cs="Tahoma"/>
          <w:sz w:val="22"/>
          <w:szCs w:val="22"/>
        </w:rPr>
        <w:t>, directora de asuntos públicos en </w:t>
      </w:r>
      <w:hyperlink r:id="rId16" w:history="1">
        <w:r>
          <w:rPr>
            <w:rStyle w:val="Hipervnculo"/>
            <w:rFonts w:ascii="Tahoma" w:hAnsi="Tahoma" w:cs="Tahoma"/>
            <w:sz w:val="22"/>
            <w:szCs w:val="22"/>
          </w:rPr>
          <w:t>Ecovidrio</w:t>
        </w:r>
      </w:hyperlink>
      <w:r>
        <w:rPr>
          <w:rFonts w:ascii="Tahoma" w:hAnsi="Tahoma" w:cs="Tahoma"/>
          <w:sz w:val="22"/>
          <w:szCs w:val="22"/>
        </w:rPr>
        <w:t xml:space="preserve">, SCRAP clave para el sector vitivinícola. </w:t>
      </w:r>
    </w:p>
    <w:p w14:paraId="428BC13C" w14:textId="77777777" w:rsidR="002C47A0" w:rsidRDefault="002C47A0" w:rsidP="002C47A0">
      <w:pPr>
        <w:shd w:val="clear" w:color="auto" w:fill="FFFFFF"/>
        <w:rPr>
          <w:rFonts w:ascii="Tahoma" w:hAnsi="Tahoma" w:cs="Tahoma"/>
          <w:sz w:val="22"/>
          <w:szCs w:val="22"/>
        </w:rPr>
      </w:pPr>
    </w:p>
    <w:p w14:paraId="209D05AE" w14:textId="48AEDB09" w:rsidR="002C47A0" w:rsidRDefault="00A51C14" w:rsidP="002C47A0">
      <w:pPr>
        <w:shd w:val="clear" w:color="auto" w:fill="FFFFFF"/>
        <w:rPr>
          <w:rFonts w:ascii="Tahoma" w:hAnsi="Tahoma" w:cs="Tahoma"/>
          <w:sz w:val="22"/>
          <w:szCs w:val="22"/>
        </w:rPr>
      </w:pPr>
      <w:r>
        <w:rPr>
          <w:rFonts w:ascii="Tahoma" w:hAnsi="Tahoma" w:cs="Tahoma"/>
          <w:sz w:val="22"/>
          <w:szCs w:val="22"/>
        </w:rPr>
        <w:t>U</w:t>
      </w:r>
      <w:r w:rsidR="002C47A0">
        <w:rPr>
          <w:rFonts w:ascii="Tahoma" w:hAnsi="Tahoma" w:cs="Tahoma"/>
          <w:sz w:val="22"/>
          <w:szCs w:val="22"/>
        </w:rPr>
        <w:t xml:space="preserve">na jornada valorada de una forma muy positiva por las empresas asistentes que se ha desarrollado gracias al patrocinio de </w:t>
      </w:r>
      <w:hyperlink r:id="rId17" w:history="1">
        <w:r w:rsidR="002C47A0">
          <w:rPr>
            <w:rStyle w:val="Hipervnculo"/>
            <w:rFonts w:ascii="Tahoma" w:hAnsi="Tahoma" w:cs="Tahoma"/>
            <w:sz w:val="22"/>
            <w:szCs w:val="22"/>
          </w:rPr>
          <w:t>Eurocaja Rural</w:t>
        </w:r>
      </w:hyperlink>
      <w:r w:rsidR="002C47A0">
        <w:rPr>
          <w:rFonts w:ascii="Tahoma" w:hAnsi="Tahoma" w:cs="Tahoma"/>
          <w:sz w:val="22"/>
          <w:szCs w:val="22"/>
        </w:rPr>
        <w:t xml:space="preserve">, quien sigue apostando por apoyar el sector del vino de la región con acciones como esta, destacan su rol como fijador de la población en el medio rural y uno de los motores económicos de Castilla-La Mancha. </w:t>
      </w:r>
    </w:p>
    <w:p w14:paraId="2314A082" w14:textId="77777777" w:rsidR="00A51C14" w:rsidRDefault="00A51C14" w:rsidP="002C47A0">
      <w:pPr>
        <w:shd w:val="clear" w:color="auto" w:fill="FFFFFF"/>
        <w:rPr>
          <w:rFonts w:ascii="Tahoma" w:hAnsi="Tahoma" w:cs="Tahoma"/>
          <w:sz w:val="22"/>
          <w:szCs w:val="22"/>
        </w:rPr>
      </w:pPr>
    </w:p>
    <w:p w14:paraId="1608FFE7" w14:textId="541378AF" w:rsidR="002C47A0" w:rsidRDefault="00A51C14" w:rsidP="002C47A0">
      <w:pPr>
        <w:shd w:val="clear" w:color="auto" w:fill="FFFFFF"/>
        <w:rPr>
          <w:rFonts w:ascii="Tahoma" w:hAnsi="Tahoma" w:cs="Tahoma"/>
          <w:b/>
          <w:sz w:val="22"/>
          <w:szCs w:val="22"/>
        </w:rPr>
      </w:pPr>
      <w:r>
        <w:rPr>
          <w:rFonts w:ascii="Tahoma" w:hAnsi="Tahoma" w:cs="Tahoma"/>
          <w:sz w:val="22"/>
          <w:szCs w:val="22"/>
        </w:rPr>
        <w:t>La jornada contó en su presentación con el presidente de la Asociación, Javier Cuadrado Ayuso; y el director territorial de Eurocaja Rural, Carlos Prior, que pusieron en valor el apoyo técnico de FEDA a las asociaciones sectoriales y a cada uno de sus sectores, y esa colaboración que existe con la entidad financiera.</w:t>
      </w:r>
    </w:p>
    <w:p w14:paraId="1F5AF0E6" w14:textId="77777777" w:rsidR="00E1585C" w:rsidRDefault="00E1585C" w:rsidP="00E1585C">
      <w:pPr>
        <w:pStyle w:val="Sangra2detindependiente"/>
        <w:spacing w:line="276" w:lineRule="auto"/>
        <w:ind w:firstLine="0"/>
        <w:jc w:val="right"/>
        <w:rPr>
          <w:rFonts w:ascii="Tahoma" w:hAnsi="Tahoma" w:cs="Tahoma"/>
          <w:sz w:val="22"/>
          <w:szCs w:val="22"/>
        </w:rPr>
      </w:pPr>
    </w:p>
    <w:sectPr w:rsidR="00E1585C" w:rsidSect="00702694">
      <w:headerReference w:type="default" r:id="rId18"/>
      <w:footerReference w:type="even" r:id="rId19"/>
      <w:footerReference w:type="default" r:id="rId2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65244485" name="Imagen 1465244485"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201868446" name="Imagen 2018684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DF222D"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948424209" name="Imagen 948424209"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963740630" name="Imagen 963740630"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DF222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DF222D"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987892066" name="Imagen 98789206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9"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FB33BF8"/>
    <w:multiLevelType w:val="hybridMultilevel"/>
    <w:tmpl w:val="C1B86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9"/>
  </w:num>
  <w:num w:numId="7" w16cid:durableId="1465738062">
    <w:abstractNumId w:val="10"/>
  </w:num>
  <w:num w:numId="8" w16cid:durableId="1909218568">
    <w:abstractNumId w:val="7"/>
  </w:num>
  <w:num w:numId="9" w16cid:durableId="1156579490">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235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47A0"/>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1CD"/>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AD2"/>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C14"/>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DE4"/>
    <w:rsid w:val="00CF7E65"/>
    <w:rsid w:val="00D019F4"/>
    <w:rsid w:val="00D02C49"/>
    <w:rsid w:val="00D030A4"/>
    <w:rsid w:val="00D03E06"/>
    <w:rsid w:val="00D050D7"/>
    <w:rsid w:val="00D05DD2"/>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22D"/>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4561"/>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358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86358695">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index.php?option=com_chronoforms5&amp;chronoform=fb-538-nueva-normativa-de-e" TargetMode="External"/><Relationship Id="rId13" Type="http://schemas.openxmlformats.org/officeDocument/2006/relationships/hyperlink" Target="https://www.linkedin.com/in/trinidadmarquez/"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ev.es/es/" TargetMode="External"/><Relationship Id="rId17" Type="http://schemas.openxmlformats.org/officeDocument/2006/relationships/hyperlink" Target="https://eurocajarural.es/" TargetMode="External"/><Relationship Id="rId2" Type="http://schemas.openxmlformats.org/officeDocument/2006/relationships/numbering" Target="numbering.xml"/><Relationship Id="rId16" Type="http://schemas.openxmlformats.org/officeDocument/2006/relationships/hyperlink" Target="https://www.ecovidrio.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ocajarural.es/autonomos/pro-autonomos" TargetMode="External"/><Relationship Id="rId5" Type="http://schemas.openxmlformats.org/officeDocument/2006/relationships/webSettings" Target="webSettings.xml"/><Relationship Id="rId15" Type="http://schemas.openxmlformats.org/officeDocument/2006/relationships/hyperlink" Target="https://www.linkedin.com/in/sandra-anguiano-91572b4/" TargetMode="External"/><Relationship Id="rId10" Type="http://schemas.openxmlformats.org/officeDocument/2006/relationships/hyperlink" Target="https://www.feda.es/feda/asociaciones-junta-directiva/item/6819-asociacion-de-empresarios-de-vinos-de-albacet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linkedin.com/in/paola-hiscock-garc%C3%ADa-70b885115/?originalSubdomain=es"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459</Words>
  <Characters>3063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3515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5</cp:revision>
  <cp:lastPrinted>2021-03-16T11:17:00Z</cp:lastPrinted>
  <dcterms:created xsi:type="dcterms:W3CDTF">2024-11-04T16:16:00Z</dcterms:created>
  <dcterms:modified xsi:type="dcterms:W3CDTF">2024-11-05T10:26:00Z</dcterms:modified>
</cp:coreProperties>
</file>