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B1314D8" w14:textId="76A1BF43" w:rsidR="00227A3D" w:rsidRDefault="00227A3D" w:rsidP="00227A3D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854484">
        <w:rPr>
          <w:rFonts w:ascii="Tahoma" w:hAnsi="Tahoma" w:cs="Tahoma"/>
          <w:bCs/>
          <w:sz w:val="22"/>
          <w:szCs w:val="22"/>
        </w:rPr>
        <w:t>3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="00854484">
        <w:rPr>
          <w:rFonts w:ascii="Tahoma" w:hAnsi="Tahoma" w:cs="Tahoma"/>
          <w:bCs/>
          <w:sz w:val="22"/>
          <w:szCs w:val="22"/>
        </w:rPr>
        <w:t>de abril</w:t>
      </w:r>
      <w:r>
        <w:rPr>
          <w:rFonts w:ascii="Tahoma" w:hAnsi="Tahoma" w:cs="Tahoma"/>
          <w:bCs/>
          <w:sz w:val="22"/>
          <w:szCs w:val="22"/>
        </w:rPr>
        <w:t xml:space="preserve"> de 2025</w:t>
      </w:r>
    </w:p>
    <w:p w14:paraId="0C0C7C2B" w14:textId="77777777" w:rsidR="009F177E" w:rsidRDefault="009F177E" w:rsidP="00227A3D">
      <w:pPr>
        <w:jc w:val="right"/>
        <w:rPr>
          <w:rFonts w:ascii="Tahoma" w:hAnsi="Tahoma" w:cs="Tahoma"/>
          <w:bCs/>
          <w:sz w:val="22"/>
          <w:szCs w:val="22"/>
        </w:rPr>
      </w:pPr>
    </w:p>
    <w:p w14:paraId="7B326E5C" w14:textId="423091C4" w:rsidR="009F177E" w:rsidRPr="009F177E" w:rsidRDefault="009F177E" w:rsidP="009F177E">
      <w:pPr>
        <w:jc w:val="center"/>
        <w:rPr>
          <w:rFonts w:ascii="Tahoma" w:hAnsi="Tahoma" w:cs="Tahoma"/>
          <w:b/>
          <w:sz w:val="32"/>
          <w:szCs w:val="32"/>
        </w:rPr>
      </w:pPr>
      <w:r w:rsidRPr="009F177E">
        <w:rPr>
          <w:rFonts w:ascii="Tahoma" w:hAnsi="Tahoma" w:cs="Tahoma"/>
          <w:b/>
          <w:sz w:val="32"/>
          <w:szCs w:val="32"/>
        </w:rPr>
        <w:t>El programa INFEDA 2025 contin</w:t>
      </w:r>
      <w:r>
        <w:rPr>
          <w:rFonts w:ascii="Tahoma" w:hAnsi="Tahoma" w:cs="Tahoma"/>
          <w:b/>
          <w:sz w:val="32"/>
          <w:szCs w:val="32"/>
        </w:rPr>
        <w:t>ú</w:t>
      </w:r>
      <w:r w:rsidRPr="009F177E">
        <w:rPr>
          <w:rFonts w:ascii="Tahoma" w:hAnsi="Tahoma" w:cs="Tahoma"/>
          <w:b/>
          <w:sz w:val="32"/>
          <w:szCs w:val="32"/>
        </w:rPr>
        <w:t>a reforzando las herramientas de internacionalización</w:t>
      </w:r>
      <w:r>
        <w:rPr>
          <w:rFonts w:ascii="Tahoma" w:hAnsi="Tahoma" w:cs="Tahoma"/>
          <w:b/>
          <w:sz w:val="32"/>
          <w:szCs w:val="32"/>
        </w:rPr>
        <w:t>,</w:t>
      </w:r>
      <w:r w:rsidRPr="009F177E">
        <w:rPr>
          <w:rFonts w:ascii="Tahoma" w:hAnsi="Tahoma" w:cs="Tahoma"/>
          <w:b/>
          <w:sz w:val="32"/>
          <w:szCs w:val="32"/>
        </w:rPr>
        <w:t xml:space="preserve"> digitalización</w:t>
      </w:r>
      <w:r>
        <w:rPr>
          <w:rFonts w:ascii="Tahoma" w:hAnsi="Tahoma" w:cs="Tahoma"/>
          <w:b/>
          <w:sz w:val="32"/>
          <w:szCs w:val="32"/>
        </w:rPr>
        <w:t xml:space="preserve"> y eficiencia energética</w:t>
      </w:r>
      <w:r w:rsidRPr="009F177E">
        <w:rPr>
          <w:rFonts w:ascii="Tahoma" w:hAnsi="Tahoma" w:cs="Tahoma"/>
          <w:b/>
          <w:sz w:val="32"/>
          <w:szCs w:val="32"/>
        </w:rPr>
        <w:t xml:space="preserve"> en las empresas</w:t>
      </w:r>
      <w:r>
        <w:rPr>
          <w:rFonts w:ascii="Tahoma" w:hAnsi="Tahoma" w:cs="Tahoma"/>
          <w:b/>
          <w:sz w:val="32"/>
          <w:szCs w:val="32"/>
        </w:rPr>
        <w:t xml:space="preserve"> de Albacete</w:t>
      </w:r>
    </w:p>
    <w:p w14:paraId="515F8B01" w14:textId="77777777" w:rsidR="00D24CDB" w:rsidRDefault="00D24CDB" w:rsidP="00227A3D">
      <w:pPr>
        <w:jc w:val="right"/>
        <w:rPr>
          <w:rFonts w:ascii="Tahoma" w:hAnsi="Tahoma" w:cs="Tahoma"/>
          <w:bCs/>
          <w:sz w:val="22"/>
          <w:szCs w:val="22"/>
        </w:rPr>
      </w:pPr>
    </w:p>
    <w:p w14:paraId="202E91BB" w14:textId="68E6A27E" w:rsidR="00854484" w:rsidRPr="00854484" w:rsidRDefault="00854484" w:rsidP="00854484">
      <w:pPr>
        <w:pStyle w:val="Prrafodelista"/>
        <w:numPr>
          <w:ilvl w:val="0"/>
          <w:numId w:val="18"/>
        </w:numPr>
        <w:spacing w:line="240" w:lineRule="auto"/>
        <w:ind w:left="284" w:hanging="284"/>
        <w:jc w:val="center"/>
        <w:rPr>
          <w:b/>
        </w:rPr>
      </w:pPr>
      <w:r w:rsidRPr="00854484">
        <w:rPr>
          <w:rStyle w:val="Hipervnculo"/>
          <w:rFonts w:ascii="Tahoma" w:hAnsi="Tahoma" w:cs="Tahoma"/>
          <w:b/>
          <w:bCs/>
          <w:color w:val="auto"/>
          <w:spacing w:val="-2"/>
          <w:u w:val="none"/>
        </w:rPr>
        <w:t>Como cada año</w:t>
      </w:r>
      <w:r w:rsidR="009F177E">
        <w:rPr>
          <w:rStyle w:val="Hipervnculo"/>
          <w:rFonts w:ascii="Tahoma" w:hAnsi="Tahoma" w:cs="Tahoma"/>
          <w:b/>
          <w:bCs/>
          <w:color w:val="auto"/>
          <w:spacing w:val="-2"/>
          <w:u w:val="none"/>
        </w:rPr>
        <w:t>, ya en la séptima edición,</w:t>
      </w:r>
      <w:r w:rsidRPr="00854484">
        <w:rPr>
          <w:rStyle w:val="Hipervnculo"/>
          <w:rFonts w:ascii="Tahoma" w:hAnsi="Tahoma" w:cs="Tahoma"/>
          <w:b/>
          <w:bCs/>
          <w:color w:val="auto"/>
          <w:spacing w:val="-2"/>
          <w:u w:val="none"/>
        </w:rPr>
        <w:t xml:space="preserve"> este programa se desarrolla gracias a </w:t>
      </w:r>
      <w:r w:rsidRPr="00854484">
        <w:rPr>
          <w:rFonts w:ascii="Tahoma" w:hAnsi="Tahoma" w:cs="Tahoma"/>
          <w:b/>
          <w:bCs/>
          <w:spacing w:val="-2"/>
        </w:rPr>
        <w:t>la colaboración y compromiso de las entidades BBVA, CaixaBank, Globalcaja y Unicaja</w:t>
      </w:r>
    </w:p>
    <w:p w14:paraId="35996DAE" w14:textId="77777777" w:rsidR="00854484" w:rsidRPr="00854484" w:rsidRDefault="00854484" w:rsidP="00854484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854484">
        <w:rPr>
          <w:rStyle w:val="Hipervnculo"/>
          <w:rFonts w:ascii="Tahoma" w:hAnsi="Tahoma" w:cs="Tahoma"/>
          <w:bCs/>
          <w:color w:val="auto"/>
          <w:spacing w:val="-2"/>
          <w:sz w:val="22"/>
          <w:szCs w:val="22"/>
          <w:u w:val="none"/>
        </w:rPr>
        <w:t xml:space="preserve">Tras el éxito de las dos primeras rondas empresariales del </w:t>
      </w:r>
      <w:hyperlink r:id="rId8" w:history="1">
        <w:r w:rsidRPr="00854484">
          <w:rPr>
            <w:rStyle w:val="Hipervnculo"/>
            <w:rFonts w:ascii="Tahoma" w:hAnsi="Tahoma" w:cs="Tahoma"/>
            <w:bCs/>
            <w:color w:val="auto"/>
            <w:spacing w:val="-2"/>
            <w:sz w:val="22"/>
            <w:szCs w:val="22"/>
            <w:u w:val="none"/>
          </w:rPr>
          <w:t>Programa IN-FEDA</w:t>
        </w:r>
      </w:hyperlink>
      <w:r w:rsidRPr="00854484">
        <w:rPr>
          <w:rStyle w:val="Hipervnculo"/>
          <w:rFonts w:ascii="Tahoma" w:hAnsi="Tahoma" w:cs="Tahoma"/>
          <w:bCs/>
          <w:color w:val="auto"/>
          <w:spacing w:val="-2"/>
          <w:sz w:val="22"/>
          <w:szCs w:val="22"/>
          <w:u w:val="none"/>
        </w:rPr>
        <w:t xml:space="preserve"> 2025,  centradas en la sostenibilidad e innovación y en la internacionalización, el programa continuará después de Semana Santa con temas de gran actualidad para las empresas de la provincia, como son</w:t>
      </w:r>
      <w:r w:rsidRPr="00854484">
        <w:rPr>
          <w:rStyle w:val="Hipervnculo"/>
          <w:rFonts w:ascii="Tahoma" w:hAnsi="Tahoma" w:cs="Tahoma"/>
          <w:bCs/>
          <w:color w:val="auto"/>
          <w:spacing w:val="-2"/>
          <w:sz w:val="22"/>
          <w:szCs w:val="22"/>
        </w:rPr>
        <w:t xml:space="preserve"> 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las </w:t>
      </w:r>
      <w:r w:rsidRPr="00DF414E">
        <w:rPr>
          <w:rFonts w:ascii="Tahoma" w:hAnsi="Tahoma" w:cs="Tahoma"/>
          <w:bCs/>
          <w:color w:val="000000" w:themeColor="text1"/>
          <w:sz w:val="22"/>
          <w:szCs w:val="22"/>
        </w:rPr>
        <w:t xml:space="preserve">oportunidades comerciales que República Checa 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ofrece a las empresas castellanomanchegas, así como los recursos y puntos clave para realizar una </w:t>
      </w:r>
      <w:r w:rsidRPr="00DF414E">
        <w:rPr>
          <w:rFonts w:ascii="Tahoma" w:hAnsi="Tahoma" w:cs="Tahoma"/>
          <w:bCs/>
          <w:color w:val="000000" w:themeColor="text1"/>
          <w:sz w:val="22"/>
          <w:szCs w:val="22"/>
        </w:rPr>
        <w:t>comunicación efectiva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para llegar a los diferentes mercados exteriores. </w:t>
      </w:r>
    </w:p>
    <w:p w14:paraId="5A116F45" w14:textId="765863C7" w:rsidR="00854484" w:rsidRPr="00854484" w:rsidRDefault="00854484" w:rsidP="00854484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Este programa que nació hace </w:t>
      </w:r>
      <w:r w:rsidR="00DF414E">
        <w:rPr>
          <w:rFonts w:ascii="Tahoma" w:hAnsi="Tahoma" w:cs="Tahoma"/>
          <w:color w:val="000000" w:themeColor="text1"/>
          <w:sz w:val="22"/>
          <w:szCs w:val="22"/>
        </w:rPr>
        <w:t>siete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años, </w:t>
      </w:r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organizado por </w:t>
      </w:r>
      <w:hyperlink r:id="rId9" w:history="1"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FEDA</w:t>
        </w:r>
      </w:hyperlink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como nodo de la </w:t>
      </w:r>
      <w:hyperlink r:id="rId10" w:history="1"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Enterprise </w:t>
        </w:r>
        <w:proofErr w:type="spellStart"/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Europe</w:t>
        </w:r>
        <w:proofErr w:type="spellEnd"/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 Network</w:t>
        </w:r>
      </w:hyperlink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con el apoyo de </w:t>
      </w:r>
      <w:hyperlink r:id="rId11" w:history="1"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854484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854484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2" w:history="1"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y como cada año, bajo la dirección técnica de la </w:t>
      </w:r>
      <w:hyperlink r:id="rId13" w:history="1">
        <w:r w:rsidRPr="00854484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Asociación de Importadores y Exportadores de Albacete, ADIEX</w:t>
        </w:r>
      </w:hyperlink>
      <w:r w:rsidRPr="00854484">
        <w:rPr>
          <w:rFonts w:ascii="Tahoma" w:hAnsi="Tahoma" w:cs="Tahoma"/>
          <w:bCs/>
          <w:color w:val="0000FF"/>
          <w:spacing w:val="-2"/>
          <w:sz w:val="22"/>
          <w:szCs w:val="22"/>
        </w:rPr>
        <w:t>,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tiene como objetivo que las empresas de la provincia tengan acceso a diversos recursos para estar preparadas ante el escenario convulso actual y estar preparadas para los cambios continuos que deben afrontar para seguir siendo competitivas. </w:t>
      </w:r>
    </w:p>
    <w:p w14:paraId="7C21D490" w14:textId="77777777" w:rsidR="00DF414E" w:rsidRDefault="00854484" w:rsidP="00DF414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DF414E">
        <w:rPr>
          <w:rStyle w:val="Hipervnculo"/>
          <w:rFonts w:ascii="Tahoma" w:hAnsi="Tahoma" w:cs="Tahoma"/>
          <w:bCs/>
          <w:color w:val="auto"/>
          <w:spacing w:val="-2"/>
          <w:sz w:val="22"/>
          <w:szCs w:val="22"/>
          <w:u w:val="none"/>
        </w:rPr>
        <w:t>Este programa, como ya es habitual, se desarrolla gracias a</w:t>
      </w:r>
      <w:r w:rsidRPr="00DF414E">
        <w:rPr>
          <w:rStyle w:val="Hipervnculo"/>
          <w:rFonts w:ascii="Tahoma" w:hAnsi="Tahoma" w:cs="Tahoma"/>
          <w:bCs/>
          <w:color w:val="auto"/>
          <w:spacing w:val="-2"/>
          <w:sz w:val="22"/>
          <w:szCs w:val="22"/>
        </w:rPr>
        <w:t xml:space="preserve"> </w:t>
      </w:r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la colaboración y compromiso de las entidades BBVA, CaixaBank, Globalcaja y Unicaja, quienes continúan apostando por potenciar la internacionalización, la so</w:t>
      </w:r>
      <w:r w:rsidR="00DF414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s</w:t>
      </w:r>
      <w:r w:rsidRPr="00854484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tenibilidad,  la innovación y  la digitalización entre las empresas albaceteñas, apoyando programas como este. </w:t>
      </w:r>
    </w:p>
    <w:p w14:paraId="3559EAAA" w14:textId="77777777" w:rsidR="00DF414E" w:rsidRDefault="00DF414E" w:rsidP="00DF414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71EFD26" w14:textId="77777777" w:rsidR="00DF414E" w:rsidRDefault="00854484" w:rsidP="00DF414E">
      <w:pPr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b/>
          <w:bCs/>
          <w:color w:val="000000" w:themeColor="text1"/>
          <w:sz w:val="22"/>
          <w:szCs w:val="22"/>
        </w:rPr>
        <w:t>Herramientas y recursos para las empresas de la provincia</w:t>
      </w:r>
    </w:p>
    <w:p w14:paraId="78AAFD43" w14:textId="77777777" w:rsidR="00DF414E" w:rsidRDefault="00DF414E" w:rsidP="00DF414E">
      <w:pPr>
        <w:rPr>
          <w:rFonts w:ascii="Tahoma" w:hAnsi="Tahoma" w:cs="Tahoma"/>
          <w:b/>
          <w:bCs/>
          <w:color w:val="000000" w:themeColor="text1"/>
          <w:sz w:val="22"/>
          <w:szCs w:val="22"/>
        </w:rPr>
      </w:pPr>
    </w:p>
    <w:p w14:paraId="56B23A23" w14:textId="697E7480" w:rsidR="00854484" w:rsidRDefault="00854484" w:rsidP="00DF414E">
      <w:pPr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La primera ronda empresarial llevada a cabo en la capital albaceteña, en la que se abordaron las </w:t>
      </w:r>
      <w:hyperlink r:id="rId14" w:history="1"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>oportunidades y beneficios que ofrecen los Certificados de ahorro energético (</w:t>
        </w:r>
        <w:proofErr w:type="spellStart"/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>CAEs</w:t>
        </w:r>
        <w:proofErr w:type="spellEnd"/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>)</w:t>
        </w:r>
      </w:hyperlink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 tanto a las empresas instaladoras como a las empresas que llevan a cabo este tipo de proyectos, se </w:t>
      </w:r>
      <w:r w:rsidR="00DF414E">
        <w:rPr>
          <w:rFonts w:ascii="Tahoma" w:hAnsi="Tahoma" w:cs="Tahoma"/>
          <w:bCs/>
          <w:color w:val="000000" w:themeColor="text1"/>
          <w:sz w:val="22"/>
          <w:szCs w:val="22"/>
        </w:rPr>
        <w:t>desarrolló d</w:t>
      </w: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e la mano de </w:t>
      </w:r>
      <w:hyperlink r:id="rId15" w:history="1">
        <w:proofErr w:type="spellStart"/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>Fenie</w:t>
        </w:r>
        <w:proofErr w:type="spellEnd"/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 xml:space="preserve"> Energía</w:t>
        </w:r>
      </w:hyperlink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 y la colaboración de </w:t>
      </w:r>
      <w:hyperlink r:id="rId16" w:history="1"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>BBVA</w:t>
        </w:r>
      </w:hyperlink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>, entidad que fomenta nuevos negocios sostenibles a través de la financiación y potencia la descarbonización de la cartera crediticia</w:t>
      </w:r>
      <w:r w:rsidR="00DF414E">
        <w:rPr>
          <w:rFonts w:ascii="Tahoma" w:hAnsi="Tahoma" w:cs="Tahoma"/>
          <w:bCs/>
          <w:color w:val="000000" w:themeColor="text1"/>
          <w:sz w:val="22"/>
          <w:szCs w:val="22"/>
        </w:rPr>
        <w:t xml:space="preserve">, y que </w:t>
      </w: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 tuvo una gran respuesta por parte de las empresas de la provincia.</w:t>
      </w:r>
    </w:p>
    <w:p w14:paraId="747204E9" w14:textId="77777777" w:rsidR="00DF414E" w:rsidRPr="00854484" w:rsidRDefault="00DF414E" w:rsidP="00DF414E">
      <w:pPr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0E6D278F" w14:textId="553354A8" w:rsidR="00854484" w:rsidRDefault="00854484" w:rsidP="00854484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En la </w:t>
      </w:r>
      <w:hyperlink r:id="rId17" w:history="1"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>segunda ronda empresarial</w:t>
        </w:r>
      </w:hyperlink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 llevada a cabo el pasado viernes 21 de marzo en la </w:t>
      </w:r>
      <w:hyperlink r:id="rId18" w:history="1">
        <w:r w:rsidRPr="00854484">
          <w:rPr>
            <w:rStyle w:val="Hipervnculo"/>
            <w:rFonts w:ascii="Tahoma" w:hAnsi="Tahoma" w:cs="Tahoma"/>
            <w:bCs/>
            <w:sz w:val="22"/>
            <w:szCs w:val="22"/>
          </w:rPr>
          <w:t xml:space="preserve">Delegación de FEDA en </w:t>
        </w:r>
        <w:r w:rsidRPr="00854484">
          <w:rPr>
            <w:rStyle w:val="Hipervnculo"/>
            <w:rFonts w:ascii="Tahoma" w:hAnsi="Tahoma" w:cs="Tahoma"/>
            <w:sz w:val="22"/>
            <w:szCs w:val="22"/>
          </w:rPr>
          <w:t>La Roda</w:t>
        </w:r>
      </w:hyperlink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>, gracias a la ya</w:t>
      </w:r>
      <w:r w:rsidRPr="00854484">
        <w:rPr>
          <w:rFonts w:ascii="Tahoma" w:eastAsia="Calibri" w:hAnsi="Tahoma" w:cs="Tahoma"/>
          <w:color w:val="002060"/>
          <w:sz w:val="22"/>
          <w:szCs w:val="22"/>
        </w:rPr>
        <w:t xml:space="preserve"> </w:t>
      </w:r>
      <w:r w:rsidRPr="00854484">
        <w:rPr>
          <w:rFonts w:ascii="Tahoma" w:eastAsia="Calibri" w:hAnsi="Tahoma" w:cs="Tahoma"/>
          <w:sz w:val="22"/>
          <w:szCs w:val="22"/>
        </w:rPr>
        <w:t>tradicional colaboración de</w:t>
      </w:r>
      <w:r w:rsidRPr="00854484">
        <w:rPr>
          <w:rFonts w:ascii="Tahoma" w:eastAsia="Calibri" w:hAnsi="Tahoma" w:cs="Tahoma"/>
          <w:color w:val="002060"/>
          <w:sz w:val="22"/>
          <w:szCs w:val="22"/>
        </w:rPr>
        <w:t xml:space="preserve"> </w:t>
      </w:r>
      <w:hyperlink r:id="rId19" w:history="1">
        <w:proofErr w:type="spellStart"/>
        <w:r w:rsidRPr="00854484">
          <w:rPr>
            <w:rFonts w:ascii="Tahoma" w:eastAsia="Calibri" w:hAnsi="Tahoma" w:cs="Tahoma"/>
            <w:color w:val="0000FF"/>
            <w:sz w:val="22"/>
            <w:szCs w:val="22"/>
            <w:u w:val="single"/>
          </w:rPr>
          <w:t>Caixabank</w:t>
        </w:r>
        <w:proofErr w:type="spellEnd"/>
      </w:hyperlink>
      <w:r w:rsidRPr="00854484">
        <w:rPr>
          <w:rFonts w:ascii="Tahoma" w:eastAsia="Calibri" w:hAnsi="Tahoma" w:cs="Tahoma"/>
          <w:color w:val="0000FF"/>
          <w:sz w:val="22"/>
          <w:szCs w:val="22"/>
          <w:u w:val="single"/>
        </w:rPr>
        <w:t xml:space="preserve"> </w:t>
      </w:r>
      <w:r w:rsidRPr="00854484">
        <w:rPr>
          <w:rFonts w:ascii="Tahoma" w:eastAsia="Calibri" w:hAnsi="Tahoma" w:cs="Tahoma"/>
          <w:sz w:val="22"/>
          <w:szCs w:val="22"/>
        </w:rPr>
        <w:t>en este programa</w:t>
      </w:r>
      <w:r w:rsidR="00DF414E">
        <w:rPr>
          <w:rFonts w:ascii="Tahoma" w:eastAsia="Calibri" w:hAnsi="Tahoma" w:cs="Tahoma"/>
          <w:sz w:val="22"/>
          <w:szCs w:val="22"/>
        </w:rPr>
        <w:t>,</w:t>
      </w:r>
      <w:r w:rsidRPr="00854484">
        <w:rPr>
          <w:rFonts w:ascii="Tahoma" w:eastAsia="Calibri" w:hAnsi="Tahoma" w:cs="Tahoma"/>
          <w:sz w:val="22"/>
          <w:szCs w:val="22"/>
        </w:rPr>
        <w:t xml:space="preserve"> quien destaca por sus medios digitales tan desarrollados y punteros,</w:t>
      </w:r>
      <w:r w:rsidRPr="00854484">
        <w:rPr>
          <w:rFonts w:ascii="Tahoma" w:hAnsi="Tahoma" w:cs="Tahoma"/>
          <w:bCs/>
          <w:sz w:val="22"/>
          <w:szCs w:val="22"/>
        </w:rPr>
        <w:t xml:space="preserve"> </w:t>
      </w: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se analizaron los puntos clave a tener en cuenta a la hora de elaborar un plan de acción digital efectivo. Las empresas resaltaron lo positivo de este formato práctico, presencial y reducido que les permite un contacto directo con el experto-ponente. </w:t>
      </w:r>
    </w:p>
    <w:p w14:paraId="53FC4436" w14:textId="77777777" w:rsidR="009F177E" w:rsidRDefault="009F177E" w:rsidP="00854484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2650A4A4" w14:textId="77777777" w:rsidR="009F177E" w:rsidRDefault="009F177E" w:rsidP="00854484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7BEFC997" w14:textId="77777777" w:rsidR="009F177E" w:rsidRPr="00854484" w:rsidRDefault="009F177E" w:rsidP="00854484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41D3111B" w14:textId="77777777" w:rsidR="009F177E" w:rsidRDefault="009F177E" w:rsidP="00854484">
      <w:pPr>
        <w:spacing w:after="240"/>
        <w:rPr>
          <w:rFonts w:ascii="Tahoma" w:hAnsi="Tahoma" w:cs="Tahoma"/>
          <w:b/>
          <w:bCs/>
          <w:color w:val="000000" w:themeColor="text1"/>
          <w:sz w:val="22"/>
          <w:szCs w:val="22"/>
        </w:rPr>
      </w:pPr>
    </w:p>
    <w:p w14:paraId="0C93606F" w14:textId="5C54F1F4" w:rsidR="00854484" w:rsidRPr="00854484" w:rsidRDefault="00854484" w:rsidP="00854484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Oportunidades comerciales en República Checa y comunicación internacional efectiva                        </w:t>
      </w: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   </w:t>
      </w:r>
    </w:p>
    <w:p w14:paraId="5E57E43B" w14:textId="1E86CE39" w:rsidR="00961673" w:rsidRDefault="00854484" w:rsidP="00854484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bCs/>
          <w:color w:val="000000" w:themeColor="text1"/>
          <w:sz w:val="22"/>
          <w:szCs w:val="22"/>
        </w:rPr>
        <w:t xml:space="preserve">Las dos últimas rondas empresariales se celebrarán en 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la </w:t>
      </w:r>
      <w:hyperlink r:id="rId20" w:history="1">
        <w:r w:rsidRPr="00854484">
          <w:rPr>
            <w:rStyle w:val="Hipervnculo"/>
            <w:rFonts w:ascii="Tahoma" w:hAnsi="Tahoma" w:cs="Tahoma"/>
            <w:sz w:val="22"/>
            <w:szCs w:val="22"/>
          </w:rPr>
          <w:t>Sede</w:t>
        </w:r>
      </w:hyperlink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961673">
        <w:rPr>
          <w:rFonts w:ascii="Tahoma" w:hAnsi="Tahoma" w:cs="Tahoma"/>
          <w:color w:val="000000" w:themeColor="text1"/>
          <w:sz w:val="22"/>
          <w:szCs w:val="22"/>
        </w:rPr>
        <w:t>de Albacete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y en la </w:t>
      </w:r>
      <w:r w:rsidR="00961673">
        <w:rPr>
          <w:rFonts w:ascii="Tahoma" w:hAnsi="Tahoma" w:cs="Tahoma"/>
          <w:color w:val="000000" w:themeColor="text1"/>
          <w:sz w:val="22"/>
          <w:szCs w:val="22"/>
        </w:rPr>
        <w:t>D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elegación de FEDA en </w:t>
      </w:r>
      <w:hyperlink r:id="rId21" w:history="1">
        <w:r w:rsidRPr="00854484">
          <w:rPr>
            <w:rStyle w:val="Hipervnculo"/>
            <w:rFonts w:ascii="Tahoma" w:hAnsi="Tahoma" w:cs="Tahoma"/>
            <w:sz w:val="22"/>
            <w:szCs w:val="22"/>
          </w:rPr>
          <w:t>Villarrobledo</w:t>
        </w:r>
      </w:hyperlink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respectivamente. </w:t>
      </w:r>
    </w:p>
    <w:p w14:paraId="1EAB7844" w14:textId="271150DD" w:rsidR="00854484" w:rsidRPr="00854484" w:rsidRDefault="00854484" w:rsidP="00854484">
      <w:pPr>
        <w:spacing w:after="240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En la primera de ellas, que se llevará a cabo el miércoles 14 de mayo, las empresas asistentes podrán conocer de la mano de la Cámara de Comercio de España en República Checa las </w:t>
      </w:r>
      <w:hyperlink r:id="rId22" w:history="1">
        <w:r w:rsidRPr="00854484">
          <w:rPr>
            <w:rStyle w:val="Hipervnculo"/>
            <w:rFonts w:ascii="Tahoma" w:hAnsi="Tahoma" w:cs="Tahoma"/>
            <w:sz w:val="22"/>
            <w:szCs w:val="22"/>
          </w:rPr>
          <w:t>oportunidades comerciales</w:t>
        </w:r>
      </w:hyperlink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que dicho país ofrece</w:t>
      </w:r>
      <w:r w:rsidR="00961673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así como todos los detalles  de la misión comercial multisectorial regional prevista a este país europeo en noviembre, la cual estará coordinada por FEDA. Como cada año, esta jornada contará con la colaboración de </w:t>
      </w:r>
      <w:hyperlink r:id="rId23" w:history="1">
        <w:r w:rsidRPr="00854484">
          <w:rPr>
            <w:rStyle w:val="Hipervnculo"/>
            <w:rFonts w:ascii="Tahoma" w:hAnsi="Tahoma" w:cs="Tahoma"/>
            <w:sz w:val="22"/>
            <w:szCs w:val="22"/>
          </w:rPr>
          <w:t>Globalcaja</w:t>
        </w:r>
      </w:hyperlink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, entidad que cada año renueva su compromiso con este programa y apoyo a la internacionalización de las empresas. </w:t>
      </w:r>
    </w:p>
    <w:p w14:paraId="333187DE" w14:textId="2A4CAE7F" w:rsidR="00854484" w:rsidRPr="00854484" w:rsidRDefault="00854484" w:rsidP="00854484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color w:val="000000" w:themeColor="text1"/>
          <w:sz w:val="22"/>
          <w:szCs w:val="22"/>
        </w:rPr>
        <w:t>El programa finalizará</w:t>
      </w:r>
      <w:r w:rsidR="00961673">
        <w:rPr>
          <w:rFonts w:ascii="Tahoma" w:hAnsi="Tahoma" w:cs="Tahoma"/>
          <w:color w:val="000000" w:themeColor="text1"/>
          <w:sz w:val="22"/>
          <w:szCs w:val="22"/>
        </w:rPr>
        <w:t>, el 23 de mayo,</w:t>
      </w: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 con la </w:t>
      </w:r>
      <w:hyperlink r:id="rId24" w:history="1">
        <w:r w:rsidRPr="00854484">
          <w:rPr>
            <w:rStyle w:val="Hipervnculo"/>
            <w:rFonts w:ascii="Tahoma" w:hAnsi="Tahoma" w:cs="Tahoma"/>
            <w:sz w:val="22"/>
            <w:szCs w:val="22"/>
          </w:rPr>
          <w:t>ronda empresarial sobre comunicación internacional</w:t>
        </w:r>
        <w:r w:rsidR="00961673">
          <w:rPr>
            <w:rStyle w:val="Hipervnculo"/>
            <w:rFonts w:ascii="Tahoma" w:hAnsi="Tahoma" w:cs="Tahoma"/>
            <w:sz w:val="22"/>
            <w:szCs w:val="22"/>
          </w:rPr>
          <w:t>,</w:t>
        </w:r>
        <w:r w:rsidRPr="00854484">
          <w:rPr>
            <w:rStyle w:val="Hipervnculo"/>
            <w:rFonts w:ascii="Tahoma" w:hAnsi="Tahoma" w:cs="Tahoma"/>
            <w:sz w:val="22"/>
            <w:szCs w:val="22"/>
          </w:rPr>
          <w:t xml:space="preserve"> efectiva y estrategia omnicanal</w:t>
        </w:r>
      </w:hyperlink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, que contará con el apoyo de </w:t>
      </w:r>
      <w:hyperlink r:id="rId25" w:history="1">
        <w:r w:rsidRPr="00854484">
          <w:rPr>
            <w:rStyle w:val="Hipervnculo"/>
            <w:rFonts w:ascii="Tahoma" w:hAnsi="Tahoma" w:cs="Tahoma"/>
            <w:sz w:val="22"/>
            <w:szCs w:val="22"/>
          </w:rPr>
          <w:t>Unicaja</w:t>
        </w:r>
      </w:hyperlink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, en la que las empresas participantes podrán ver los recursos para usar tecnología y data para tomar decisiones estratégicas, sin olvidar las regulaciones locales. </w:t>
      </w:r>
    </w:p>
    <w:p w14:paraId="0E362E36" w14:textId="77777777" w:rsidR="00854484" w:rsidRPr="00854484" w:rsidRDefault="00854484" w:rsidP="00854484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854484">
        <w:rPr>
          <w:rFonts w:ascii="Tahoma" w:hAnsi="Tahoma" w:cs="Tahoma"/>
          <w:color w:val="000000" w:themeColor="text1"/>
          <w:sz w:val="22"/>
          <w:szCs w:val="22"/>
        </w:rPr>
        <w:t xml:space="preserve">Un programa completo, práctico y de interés para las empresas y autónomos de la provincia albaceteña.  </w:t>
      </w: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DF2D56" w:rsidSect="00702694">
      <w:headerReference w:type="default" r:id="rId26"/>
      <w:footerReference w:type="even" r:id="rId27"/>
      <w:footerReference w:type="default" r:id="rId28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55750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70727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5575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70727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5575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70727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1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13"/>
  </w:num>
  <w:num w:numId="7" w16cid:durableId="178743476">
    <w:abstractNumId w:val="12"/>
  </w:num>
  <w:num w:numId="8" w16cid:durableId="1270041694">
    <w:abstractNumId w:val="11"/>
  </w:num>
  <w:num w:numId="9" w16cid:durableId="755827841">
    <w:abstractNumId w:val="7"/>
  </w:num>
  <w:num w:numId="10" w16cid:durableId="1609311840">
    <w:abstractNumId w:val="20"/>
  </w:num>
  <w:num w:numId="11" w16cid:durableId="1610238958">
    <w:abstractNumId w:val="15"/>
  </w:num>
  <w:num w:numId="12" w16cid:durableId="1665746039">
    <w:abstractNumId w:val="8"/>
  </w:num>
  <w:num w:numId="13" w16cid:durableId="2012640009">
    <w:abstractNumId w:val="19"/>
  </w:num>
  <w:num w:numId="14" w16cid:durableId="1340423164">
    <w:abstractNumId w:val="18"/>
  </w:num>
  <w:num w:numId="15" w16cid:durableId="1252079421">
    <w:abstractNumId w:val="9"/>
  </w:num>
  <w:num w:numId="16" w16cid:durableId="1335575114">
    <w:abstractNumId w:val="14"/>
  </w:num>
  <w:num w:numId="17" w16cid:durableId="1911570808">
    <w:abstractNumId w:val="16"/>
  </w:num>
  <w:num w:numId="18" w16cid:durableId="938104421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2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4" TargetMode="External"/><Relationship Id="rId13" Type="http://schemas.openxmlformats.org/officeDocument/2006/relationships/hyperlink" Target="http://www.adiex.es/es/" TargetMode="External"/><Relationship Id="rId18" Type="http://schemas.openxmlformats.org/officeDocument/2006/relationships/hyperlink" Target="https://www.feda.es/feda/nuestro-equipo/43-delegacion-la-roda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feda.es/feda/nuestro-equipo/40-delegacion-villarrobledo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pex.es/" TargetMode="External"/><Relationship Id="rId17" Type="http://schemas.openxmlformats.org/officeDocument/2006/relationships/hyperlink" Target="https://www.feda.es/in-feda-2025/posicionamiento-de-marca" TargetMode="External"/><Relationship Id="rId25" Type="http://schemas.openxmlformats.org/officeDocument/2006/relationships/hyperlink" Target="https://www.unicajabanco.es/es/empresas-y-autonomo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va.es/empresas.html" TargetMode="External"/><Relationship Id="rId20" Type="http://schemas.openxmlformats.org/officeDocument/2006/relationships/hyperlink" Target="https://www.feda.es/feda/nuestro-equipo/4-sede-central-albacete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24" Type="http://schemas.openxmlformats.org/officeDocument/2006/relationships/hyperlink" Target="https://www.feda.es/in-feda-2025/nuevos-mercad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enieenergia.es/es?gad_source=1" TargetMode="External"/><Relationship Id="rId23" Type="http://schemas.openxmlformats.org/officeDocument/2006/relationships/hyperlink" Target="https://www.globalcaja.es/es/empresas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en.ec.europa.eu/" TargetMode="External"/><Relationship Id="rId19" Type="http://schemas.openxmlformats.org/officeDocument/2006/relationships/hyperlink" Target="https://www.caixabank.es/empresa/home/empresas_e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feda.es/in-feda-2025/sostenibilidad-y-eficiencia-energetica" TargetMode="External"/><Relationship Id="rId22" Type="http://schemas.openxmlformats.org/officeDocument/2006/relationships/hyperlink" Target="https://www.feda.es/in-feda-2025/republica-checa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5171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2024-11-15T09:28:00Z</cp:lastPrinted>
  <dcterms:created xsi:type="dcterms:W3CDTF">2025-04-03T10:57:00Z</dcterms:created>
  <dcterms:modified xsi:type="dcterms:W3CDTF">2025-04-03T10:57:00Z</dcterms:modified>
</cp:coreProperties>
</file>