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D90BFE9" w14:textId="3CF5C825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>
        <w:rPr>
          <w:rFonts w:ascii="Tahoma" w:hAnsi="Tahoma" w:cs="Tahoma"/>
          <w:bCs/>
          <w:sz w:val="22"/>
          <w:szCs w:val="22"/>
        </w:rPr>
        <w:t>2</w:t>
      </w:r>
      <w:r w:rsidR="00383C8B">
        <w:rPr>
          <w:rFonts w:ascii="Tahoma" w:hAnsi="Tahoma" w:cs="Tahoma"/>
          <w:bCs/>
          <w:sz w:val="22"/>
          <w:szCs w:val="22"/>
        </w:rPr>
        <w:t>4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>
        <w:rPr>
          <w:rFonts w:ascii="Tahoma" w:hAnsi="Tahoma" w:cs="Tahoma"/>
          <w:bCs/>
          <w:sz w:val="22"/>
          <w:szCs w:val="22"/>
        </w:rPr>
        <w:t xml:space="preserve">abril </w:t>
      </w:r>
      <w:r w:rsidRPr="00A2386B">
        <w:rPr>
          <w:rFonts w:ascii="Tahoma" w:hAnsi="Tahoma" w:cs="Tahoma"/>
          <w:bCs/>
          <w:sz w:val="22"/>
          <w:szCs w:val="22"/>
        </w:rPr>
        <w:t>de 202</w:t>
      </w:r>
      <w:r w:rsidR="00AD1665">
        <w:rPr>
          <w:rFonts w:ascii="Tahoma" w:hAnsi="Tahoma" w:cs="Tahoma"/>
          <w:bCs/>
          <w:sz w:val="22"/>
          <w:szCs w:val="22"/>
        </w:rPr>
        <w:t>5</w:t>
      </w:r>
    </w:p>
    <w:p w14:paraId="38A822C6" w14:textId="77777777" w:rsidR="00383C8B" w:rsidRDefault="00383C8B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408C3E60" w14:textId="30BC5290" w:rsidR="00383C8B" w:rsidRDefault="00383C8B" w:rsidP="00383C8B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Los concesionarios de APRECA exponen desde hoy 49 marcas en FERIMO</w:t>
      </w:r>
      <w:r w:rsidR="00266E78">
        <w:rPr>
          <w:rFonts w:ascii="Tahoma" w:hAnsi="Tahoma" w:cs="Tahoma"/>
          <w:b/>
          <w:sz w:val="32"/>
          <w:szCs w:val="32"/>
        </w:rPr>
        <w:t>TOR</w:t>
      </w:r>
      <w:r>
        <w:rPr>
          <w:rFonts w:ascii="Tahoma" w:hAnsi="Tahoma" w:cs="Tahoma"/>
          <w:b/>
          <w:sz w:val="32"/>
          <w:szCs w:val="32"/>
        </w:rPr>
        <w:t>’2025</w:t>
      </w:r>
    </w:p>
    <w:p w14:paraId="3E5A44AE" w14:textId="77777777" w:rsidR="00383C8B" w:rsidRDefault="00383C8B" w:rsidP="00383C8B">
      <w:pPr>
        <w:jc w:val="center"/>
        <w:rPr>
          <w:rFonts w:ascii="Tahoma" w:hAnsi="Tahoma" w:cs="Tahoma"/>
          <w:b/>
          <w:sz w:val="32"/>
          <w:szCs w:val="32"/>
        </w:rPr>
      </w:pPr>
    </w:p>
    <w:p w14:paraId="164BAC30" w14:textId="46746A25" w:rsidR="00383C8B" w:rsidRPr="00383C8B" w:rsidRDefault="00383C8B" w:rsidP="00383C8B">
      <w:pPr>
        <w:pStyle w:val="Prrafodelista"/>
        <w:numPr>
          <w:ilvl w:val="0"/>
          <w:numId w:val="27"/>
        </w:numPr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szCs w:val="24"/>
        </w:rPr>
        <w:t xml:space="preserve">La Feria </w:t>
      </w:r>
      <w:r w:rsidRPr="00383C8B">
        <w:rPr>
          <w:rFonts w:ascii="Tahoma" w:hAnsi="Tahoma" w:cs="Tahoma"/>
          <w:b/>
          <w:bCs/>
        </w:rPr>
        <w:t>del Automóvil, Nuevo, Usado y de Ocasión</w:t>
      </w:r>
      <w:r w:rsidR="00750DE8">
        <w:rPr>
          <w:rFonts w:ascii="Tahoma" w:hAnsi="Tahoma" w:cs="Tahoma"/>
          <w:b/>
          <w:bCs/>
        </w:rPr>
        <w:t xml:space="preserve"> se </w:t>
      </w:r>
      <w:r w:rsidRPr="00383C8B">
        <w:rPr>
          <w:rFonts w:ascii="Tahoma" w:hAnsi="Tahoma" w:cs="Tahoma"/>
          <w:b/>
          <w:bCs/>
        </w:rPr>
        <w:t xml:space="preserve">celebra </w:t>
      </w:r>
      <w:r w:rsidR="00750DE8">
        <w:rPr>
          <w:rFonts w:ascii="Tahoma" w:hAnsi="Tahoma" w:cs="Tahoma"/>
          <w:b/>
          <w:bCs/>
        </w:rPr>
        <w:t>hasta</w:t>
      </w:r>
      <w:r w:rsidRPr="00383C8B">
        <w:rPr>
          <w:rFonts w:ascii="Tahoma" w:hAnsi="Tahoma" w:cs="Tahoma"/>
          <w:b/>
          <w:bCs/>
        </w:rPr>
        <w:t xml:space="preserve"> el 27 de abril en el pabellón ferial de la IFAB</w:t>
      </w:r>
    </w:p>
    <w:p w14:paraId="20A86A7E" w14:textId="77777777" w:rsidR="00383C8B" w:rsidRDefault="00383C8B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351F5471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375684B1" w14:textId="044E7B79" w:rsidR="00383C8B" w:rsidRPr="00750DE8" w:rsidRDefault="00383C8B" w:rsidP="00383C8B">
      <w:pPr>
        <w:pStyle w:val="Textosinformato"/>
        <w:jc w:val="both"/>
        <w:rPr>
          <w:rFonts w:ascii="Tahoma" w:hAnsi="Tahoma" w:cs="Tahoma"/>
          <w:szCs w:val="22"/>
        </w:rPr>
      </w:pPr>
      <w:r w:rsidRPr="00750DE8">
        <w:rPr>
          <w:rFonts w:ascii="Tahoma" w:hAnsi="Tahoma" w:cs="Tahoma"/>
          <w:szCs w:val="22"/>
        </w:rPr>
        <w:t>La Asociación Provincial de Empresarios de Concesionarios de Automóviles de Albacete, APRECA, integrada en FEDA, junto con la Institución Ferial de Albacete, IFAB, el Ayuntamiento, la Diputación Provincial y Junta de Comunidades de Castilla-La Mancha, han inaugurado FERIMOTOR-XXV Feria del Automóvil, Nuevo, Usado y de Ocasión, que se celebra desde hoy hasta el 27 de abril en el pabellón ferial de la IFAB. Los concesionarios asociados a APRECA exponen más de 49 marcas</w:t>
      </w:r>
      <w:r w:rsidR="00750DE8">
        <w:rPr>
          <w:rFonts w:ascii="Tahoma" w:hAnsi="Tahoma" w:cs="Tahoma"/>
          <w:szCs w:val="22"/>
        </w:rPr>
        <w:t>, frente a las 39 de la edición del año pasado</w:t>
      </w:r>
      <w:r w:rsidRPr="00750DE8">
        <w:rPr>
          <w:rFonts w:ascii="Tahoma" w:hAnsi="Tahoma" w:cs="Tahoma"/>
          <w:szCs w:val="22"/>
        </w:rPr>
        <w:t>.</w:t>
      </w:r>
    </w:p>
    <w:p w14:paraId="1B2C8F17" w14:textId="77777777" w:rsidR="00750DE8" w:rsidRPr="00750DE8" w:rsidRDefault="00750DE8" w:rsidP="00383C8B">
      <w:pPr>
        <w:pStyle w:val="Textosinformato"/>
        <w:jc w:val="both"/>
        <w:rPr>
          <w:rFonts w:ascii="Tahoma" w:hAnsi="Tahoma" w:cs="Tahoma"/>
          <w:szCs w:val="22"/>
        </w:rPr>
      </w:pPr>
    </w:p>
    <w:p w14:paraId="72EE4683" w14:textId="2E0D0246" w:rsidR="00750DE8" w:rsidRPr="00750DE8" w:rsidRDefault="00750DE8" w:rsidP="00750DE8">
      <w:pPr>
        <w:tabs>
          <w:tab w:val="left" w:pos="1202"/>
          <w:tab w:val="left" w:pos="3673"/>
        </w:tabs>
        <w:spacing w:before="2"/>
        <w:rPr>
          <w:rFonts w:ascii="Tahoma" w:hAnsi="Tahoma" w:cs="Tahoma"/>
          <w:sz w:val="22"/>
          <w:szCs w:val="22"/>
        </w:rPr>
      </w:pPr>
      <w:r w:rsidRPr="00750DE8">
        <w:rPr>
          <w:rFonts w:ascii="Tahoma" w:hAnsi="Tahoma" w:cs="Tahoma"/>
          <w:sz w:val="22"/>
          <w:szCs w:val="22"/>
        </w:rPr>
        <w:t xml:space="preserve">FERIMOTOR cuenta </w:t>
      </w:r>
      <w:r w:rsidRPr="00750DE8">
        <w:rPr>
          <w:rFonts w:ascii="Tahoma" w:hAnsi="Tahoma" w:cs="Tahoma"/>
          <w:bCs/>
          <w:sz w:val="22"/>
          <w:szCs w:val="22"/>
        </w:rPr>
        <w:t xml:space="preserve">con una superficie de exposición </w:t>
      </w:r>
      <w:r w:rsidRPr="00750DE8">
        <w:rPr>
          <w:rFonts w:ascii="Tahoma" w:hAnsi="Tahoma" w:cs="Tahoma"/>
          <w:sz w:val="22"/>
          <w:szCs w:val="22"/>
        </w:rPr>
        <w:t>de 12.094 m total:   5.794 m2 en zona interior repartida entre el Pabellón 1 y Pabellón 2; y 6.300 m2 en la zona exterior, donde como</w:t>
      </w:r>
      <w:r w:rsidRPr="00750DE8">
        <w:rPr>
          <w:rFonts w:ascii="Tahoma" w:hAnsi="Tahoma" w:cs="Tahoma"/>
          <w:b/>
          <w:sz w:val="22"/>
          <w:szCs w:val="22"/>
        </w:rPr>
        <w:t xml:space="preserve"> </w:t>
      </w:r>
      <w:r w:rsidRPr="00750DE8">
        <w:rPr>
          <w:rFonts w:ascii="Tahoma" w:hAnsi="Tahoma" w:cs="Tahoma"/>
          <w:bCs/>
          <w:sz w:val="22"/>
          <w:szCs w:val="22"/>
        </w:rPr>
        <w:t xml:space="preserve">novedad </w:t>
      </w:r>
      <w:r w:rsidRPr="00750DE8">
        <w:rPr>
          <w:rFonts w:ascii="Tahoma" w:hAnsi="Tahoma" w:cs="Tahoma"/>
          <w:sz w:val="22"/>
          <w:szCs w:val="22"/>
        </w:rPr>
        <w:t>se han aumentado los metros de exposición en zona exterior y se continua con la exposición de motos que se inició el pasado año.</w:t>
      </w:r>
    </w:p>
    <w:p w14:paraId="27C2518C" w14:textId="77777777" w:rsidR="00750DE8" w:rsidRDefault="00750DE8" w:rsidP="00750DE8">
      <w:pPr>
        <w:tabs>
          <w:tab w:val="left" w:pos="1202"/>
          <w:tab w:val="left" w:pos="3673"/>
        </w:tabs>
        <w:spacing w:before="2"/>
        <w:rPr>
          <w:rFonts w:ascii="Tahoma" w:hAnsi="Tahoma" w:cs="Tahoma"/>
          <w:szCs w:val="24"/>
        </w:rPr>
      </w:pPr>
    </w:p>
    <w:p w14:paraId="69606639" w14:textId="30775253" w:rsidR="00750DE8" w:rsidRPr="00750DE8" w:rsidRDefault="00750DE8" w:rsidP="00750DE8">
      <w:pPr>
        <w:pStyle w:val="Textoindependiente"/>
        <w:spacing w:before="12"/>
        <w:jc w:val="both"/>
        <w:rPr>
          <w:rFonts w:ascii="Tahoma" w:hAnsi="Tahoma" w:cs="Tahoma"/>
          <w:bCs/>
          <w:sz w:val="22"/>
          <w:szCs w:val="22"/>
        </w:rPr>
      </w:pPr>
      <w:r w:rsidRPr="00750DE8">
        <w:rPr>
          <w:rFonts w:ascii="Tahoma" w:hAnsi="Tahoma" w:cs="Tahoma"/>
          <w:bCs/>
          <w:sz w:val="22"/>
          <w:szCs w:val="22"/>
        </w:rPr>
        <w:t>C</w:t>
      </w:r>
      <w:r>
        <w:rPr>
          <w:rFonts w:ascii="Tahoma" w:hAnsi="Tahoma" w:cs="Tahoma"/>
          <w:bCs/>
          <w:sz w:val="22"/>
          <w:szCs w:val="22"/>
        </w:rPr>
        <w:t>oncesionarios y marcas participantes</w:t>
      </w:r>
      <w:r w:rsidRPr="00750DE8">
        <w:rPr>
          <w:rFonts w:ascii="Tahoma" w:hAnsi="Tahoma" w:cs="Tahoma"/>
          <w:bCs/>
          <w:sz w:val="22"/>
          <w:szCs w:val="22"/>
        </w:rPr>
        <w:t xml:space="preserve"> </w:t>
      </w:r>
    </w:p>
    <w:p w14:paraId="22C85EFF" w14:textId="77777777" w:rsidR="00750DE8" w:rsidRPr="00750DE8" w:rsidRDefault="00750DE8" w:rsidP="00750DE8">
      <w:pPr>
        <w:pStyle w:val="Textoindependiente"/>
        <w:spacing w:before="12"/>
        <w:ind w:left="720"/>
        <w:jc w:val="both"/>
        <w:rPr>
          <w:rFonts w:ascii="Tahoma" w:hAnsi="Tahoma" w:cs="Tahoma"/>
          <w:b w:val="0"/>
          <w:sz w:val="22"/>
          <w:szCs w:val="22"/>
        </w:rPr>
      </w:pPr>
    </w:p>
    <w:p w14:paraId="7BF120E5" w14:textId="69CB40B3" w:rsidR="00750DE8" w:rsidRPr="00750DE8" w:rsidRDefault="00750DE8" w:rsidP="00750DE8">
      <w:pPr>
        <w:pStyle w:val="Textoindependiente"/>
        <w:widowControl w:val="0"/>
        <w:autoSpaceDE w:val="0"/>
        <w:autoSpaceDN w:val="0"/>
        <w:spacing w:before="12"/>
        <w:jc w:val="both"/>
        <w:rPr>
          <w:rFonts w:ascii="Tahoma" w:hAnsi="Tahoma" w:cs="Tahoma"/>
          <w:b w:val="0"/>
          <w:sz w:val="22"/>
          <w:szCs w:val="22"/>
        </w:rPr>
      </w:pPr>
      <w:r w:rsidRPr="00750DE8">
        <w:rPr>
          <w:rFonts w:ascii="Tahoma" w:hAnsi="Tahoma" w:cs="Tahoma"/>
          <w:b w:val="0"/>
          <w:sz w:val="22"/>
          <w:szCs w:val="22"/>
        </w:rPr>
        <w:t xml:space="preserve">Participan los concesionarios </w:t>
      </w:r>
      <w:r>
        <w:rPr>
          <w:rFonts w:ascii="Tahoma" w:hAnsi="Tahoma" w:cs="Tahoma"/>
          <w:b w:val="0"/>
          <w:sz w:val="22"/>
          <w:szCs w:val="22"/>
        </w:rPr>
        <w:t>a</w:t>
      </w:r>
      <w:r w:rsidRPr="00750DE8">
        <w:rPr>
          <w:rFonts w:ascii="Tahoma" w:hAnsi="Tahoma" w:cs="Tahoma"/>
          <w:b w:val="0"/>
          <w:sz w:val="22"/>
          <w:szCs w:val="22"/>
        </w:rPr>
        <w:t>sociados a APRECA: Albamoción, Autoalba, Automaor, Grupo Maor Automóviles Villar, Motoralba, Movilmaor, Talleres Chinares, Talleres Rubens, Romovil, Wagen Motors, Autos Carretero, Martiaga Automoción, Provealba, Prochery, Provehima, Arcomovil, Provecar, Grupo Marmo.</w:t>
      </w:r>
    </w:p>
    <w:p w14:paraId="6C87DD3C" w14:textId="77777777" w:rsidR="00750DE8" w:rsidRPr="00750DE8" w:rsidRDefault="00750DE8" w:rsidP="00750DE8">
      <w:pPr>
        <w:pStyle w:val="Textoindependiente"/>
        <w:spacing w:before="12"/>
        <w:ind w:left="1800"/>
        <w:jc w:val="both"/>
        <w:rPr>
          <w:rFonts w:ascii="Tahoma" w:hAnsi="Tahoma" w:cs="Tahoma"/>
          <w:b w:val="0"/>
          <w:sz w:val="22"/>
          <w:szCs w:val="22"/>
        </w:rPr>
      </w:pPr>
    </w:p>
    <w:p w14:paraId="333F444E" w14:textId="6E248980" w:rsidR="00750DE8" w:rsidRDefault="00750DE8" w:rsidP="00750DE8">
      <w:pPr>
        <w:pStyle w:val="Textoindependiente"/>
        <w:widowControl w:val="0"/>
        <w:autoSpaceDE w:val="0"/>
        <w:autoSpaceDN w:val="0"/>
        <w:spacing w:before="12"/>
        <w:jc w:val="both"/>
        <w:rPr>
          <w:rFonts w:ascii="Tahoma" w:hAnsi="Tahoma" w:cs="Tahoma"/>
          <w:b w:val="0"/>
          <w:sz w:val="22"/>
          <w:szCs w:val="22"/>
        </w:rPr>
      </w:pPr>
      <w:r w:rsidRPr="00750DE8">
        <w:rPr>
          <w:rFonts w:ascii="Tahoma" w:hAnsi="Tahoma" w:cs="Tahoma"/>
          <w:b w:val="0"/>
          <w:sz w:val="22"/>
          <w:szCs w:val="22"/>
        </w:rPr>
        <w:t xml:space="preserve">Y 49 </w:t>
      </w:r>
      <w:r>
        <w:rPr>
          <w:rFonts w:ascii="Tahoma" w:hAnsi="Tahoma" w:cs="Tahoma"/>
          <w:b w:val="0"/>
          <w:sz w:val="22"/>
          <w:szCs w:val="22"/>
        </w:rPr>
        <w:t>m</w:t>
      </w:r>
      <w:r w:rsidRPr="00750DE8">
        <w:rPr>
          <w:rFonts w:ascii="Tahoma" w:hAnsi="Tahoma" w:cs="Tahoma"/>
          <w:b w:val="0"/>
          <w:sz w:val="22"/>
          <w:szCs w:val="22"/>
        </w:rPr>
        <w:t>arcas</w:t>
      </w:r>
      <w:r>
        <w:rPr>
          <w:rFonts w:ascii="Tahoma" w:hAnsi="Tahoma" w:cs="Tahoma"/>
          <w:b w:val="0"/>
          <w:sz w:val="22"/>
          <w:szCs w:val="22"/>
        </w:rPr>
        <w:t xml:space="preserve">: </w:t>
      </w:r>
      <w:r w:rsidRPr="00750DE8">
        <w:rPr>
          <w:rFonts w:ascii="Tahoma" w:hAnsi="Tahoma" w:cs="Tahoma"/>
          <w:b w:val="0"/>
          <w:sz w:val="22"/>
          <w:szCs w:val="22"/>
        </w:rPr>
        <w:t>Nissan – Audi – Volkswagen – Fiat Profesional – Jeep – Alfa Romeo – Abarth – Evo Silence – Byd – Land Rover - Mg – Mercedes-Benz – Smart – Mercedes Benz Veh</w:t>
      </w:r>
      <w:r>
        <w:rPr>
          <w:rFonts w:ascii="Tahoma" w:hAnsi="Tahoma" w:cs="Tahoma"/>
          <w:b w:val="0"/>
          <w:sz w:val="22"/>
          <w:szCs w:val="22"/>
        </w:rPr>
        <w:t xml:space="preserve">ículos </w:t>
      </w:r>
      <w:r w:rsidRPr="00750DE8">
        <w:rPr>
          <w:rFonts w:ascii="Tahoma" w:hAnsi="Tahoma" w:cs="Tahoma"/>
          <w:b w:val="0"/>
          <w:sz w:val="22"/>
          <w:szCs w:val="22"/>
        </w:rPr>
        <w:t xml:space="preserve">Industriales – Volkswagen Industrial – Renault – Dacia – Skoda – Mini – Bmw – Cupra – Seat – Swm – Suzuki – Mazda – Kia – Toyota - Hyundai – Mitsubishi – Kgm – Subaru – Omoda – Jaecco - Volvo – Ford - Citroën – Opel – Peugeot – Leap Motor- Bmw Motorrad – Triumph – Honda – Qj – Zontes – Vespa – Aprilia – Poaggop – Moto Guzzi. </w:t>
      </w:r>
    </w:p>
    <w:p w14:paraId="0EAF9EB8" w14:textId="77777777" w:rsidR="00750DE8" w:rsidRPr="00750DE8" w:rsidRDefault="00750DE8" w:rsidP="00750DE8">
      <w:pPr>
        <w:pStyle w:val="Textoindependiente"/>
        <w:widowControl w:val="0"/>
        <w:autoSpaceDE w:val="0"/>
        <w:autoSpaceDN w:val="0"/>
        <w:spacing w:before="12"/>
        <w:jc w:val="both"/>
        <w:rPr>
          <w:rFonts w:ascii="Tahoma" w:hAnsi="Tahoma" w:cs="Tahoma"/>
          <w:b w:val="0"/>
          <w:sz w:val="22"/>
          <w:szCs w:val="22"/>
        </w:rPr>
      </w:pPr>
    </w:p>
    <w:p w14:paraId="410A47AE" w14:textId="1A31971A" w:rsidR="00750DE8" w:rsidRPr="00750DE8" w:rsidRDefault="00750DE8" w:rsidP="00750DE8">
      <w:pPr>
        <w:pStyle w:val="Textoindependiente"/>
        <w:spacing w:before="12"/>
        <w:jc w:val="both"/>
        <w:rPr>
          <w:rFonts w:ascii="Tahoma" w:hAnsi="Tahoma" w:cs="Tahoma"/>
          <w:bCs/>
          <w:sz w:val="22"/>
          <w:szCs w:val="22"/>
        </w:rPr>
      </w:pPr>
      <w:r w:rsidRPr="00750DE8">
        <w:rPr>
          <w:rFonts w:ascii="Tahoma" w:hAnsi="Tahoma" w:cs="Tahoma"/>
          <w:bCs/>
          <w:sz w:val="22"/>
          <w:szCs w:val="22"/>
        </w:rPr>
        <w:t>Espacios</w:t>
      </w:r>
    </w:p>
    <w:p w14:paraId="426CC131" w14:textId="77777777" w:rsidR="00750DE8" w:rsidRPr="00750DE8" w:rsidRDefault="00750DE8" w:rsidP="00750DE8">
      <w:pPr>
        <w:pStyle w:val="Textoindependiente"/>
        <w:spacing w:before="12"/>
        <w:ind w:left="720"/>
        <w:jc w:val="both"/>
        <w:rPr>
          <w:rFonts w:ascii="Tahoma" w:hAnsi="Tahoma" w:cs="Tahoma"/>
          <w:b w:val="0"/>
          <w:sz w:val="22"/>
          <w:szCs w:val="22"/>
        </w:rPr>
      </w:pPr>
    </w:p>
    <w:p w14:paraId="732C3497" w14:textId="2FB94184" w:rsidR="00750DE8" w:rsidRPr="00750DE8" w:rsidRDefault="00750DE8" w:rsidP="00750DE8">
      <w:pPr>
        <w:pStyle w:val="Textoindependiente"/>
        <w:widowControl w:val="0"/>
        <w:autoSpaceDE w:val="0"/>
        <w:autoSpaceDN w:val="0"/>
        <w:spacing w:before="12"/>
        <w:jc w:val="both"/>
        <w:rPr>
          <w:rFonts w:ascii="Tahoma" w:hAnsi="Tahoma" w:cs="Tahoma"/>
          <w:b w:val="0"/>
          <w:sz w:val="22"/>
          <w:szCs w:val="22"/>
        </w:rPr>
      </w:pPr>
      <w:r w:rsidRPr="00750DE8">
        <w:rPr>
          <w:rFonts w:ascii="Tahoma" w:hAnsi="Tahoma" w:cs="Tahoma"/>
          <w:b w:val="0"/>
          <w:sz w:val="22"/>
          <w:szCs w:val="22"/>
        </w:rPr>
        <w:t>La feria está dividida en 4 espacios: Pabellón 1 y Pabellón 2 para vehículos nuevos y zonas exterior para vehículos usados y de ocasión y motos</w:t>
      </w:r>
      <w:r>
        <w:rPr>
          <w:rFonts w:ascii="Tahoma" w:hAnsi="Tahoma" w:cs="Tahoma"/>
          <w:b w:val="0"/>
          <w:sz w:val="22"/>
          <w:szCs w:val="22"/>
        </w:rPr>
        <w:t>, y todo</w:t>
      </w:r>
      <w:r w:rsidRPr="00750DE8">
        <w:rPr>
          <w:rFonts w:ascii="Tahoma" w:hAnsi="Tahoma" w:cs="Tahoma"/>
          <w:b w:val="0"/>
          <w:sz w:val="22"/>
          <w:szCs w:val="22"/>
        </w:rPr>
        <w:t xml:space="preserve"> </w:t>
      </w:r>
      <w:r>
        <w:rPr>
          <w:rFonts w:ascii="Tahoma" w:hAnsi="Tahoma" w:cs="Tahoma"/>
          <w:b w:val="0"/>
          <w:sz w:val="22"/>
          <w:szCs w:val="22"/>
        </w:rPr>
        <w:t xml:space="preserve">los </w:t>
      </w:r>
      <w:r w:rsidRPr="00750DE8">
        <w:rPr>
          <w:rFonts w:ascii="Tahoma" w:hAnsi="Tahoma" w:cs="Tahoma"/>
          <w:b w:val="0"/>
          <w:sz w:val="22"/>
          <w:szCs w:val="22"/>
        </w:rPr>
        <w:t>expositores cuentan personal cualificado y profesional, para asesorar a todos los visitantes a Ferimotor y dotar de más calidad a nuestro trabajo.</w:t>
      </w:r>
    </w:p>
    <w:p w14:paraId="426231B0" w14:textId="77777777" w:rsidR="00750DE8" w:rsidRPr="00750DE8" w:rsidRDefault="00750DE8" w:rsidP="00383C8B">
      <w:pPr>
        <w:pStyle w:val="Textosinformato"/>
        <w:jc w:val="both"/>
        <w:rPr>
          <w:rFonts w:ascii="Tahoma" w:hAnsi="Tahoma" w:cs="Tahoma"/>
          <w:szCs w:val="22"/>
        </w:rPr>
      </w:pPr>
    </w:p>
    <w:p w14:paraId="1718DCED" w14:textId="595E31FD" w:rsidR="00750DE8" w:rsidRPr="00B0539F" w:rsidRDefault="00B0539F" w:rsidP="00B0539F">
      <w:pPr>
        <w:spacing w:before="51"/>
        <w:ind w:right="111"/>
        <w:rPr>
          <w:rFonts w:ascii="Tahoma" w:hAnsi="Tahoma" w:cs="Tahoma"/>
          <w:sz w:val="22"/>
          <w:szCs w:val="22"/>
        </w:rPr>
      </w:pPr>
      <w:r w:rsidRPr="00B0539F">
        <w:rPr>
          <w:rFonts w:ascii="Tahoma" w:hAnsi="Tahoma" w:cs="Tahoma"/>
          <w:bCs/>
          <w:sz w:val="22"/>
          <w:szCs w:val="22"/>
        </w:rPr>
        <w:t xml:space="preserve">APRECA cuenta con dos patrocinadores: Soliss Seguros, </w:t>
      </w:r>
      <w:r w:rsidR="00750DE8" w:rsidRPr="00B0539F">
        <w:rPr>
          <w:rFonts w:ascii="Tahoma" w:hAnsi="Tahoma" w:cs="Tahoma"/>
          <w:sz w:val="22"/>
          <w:szCs w:val="22"/>
        </w:rPr>
        <w:t xml:space="preserve">la única aseguradora de Castilla La Mancha, que muestra una vez más su firme compromiso con nuestra </w:t>
      </w:r>
      <w:r w:rsidRPr="00B0539F">
        <w:rPr>
          <w:rFonts w:ascii="Tahoma" w:hAnsi="Tahoma" w:cs="Tahoma"/>
          <w:sz w:val="22"/>
          <w:szCs w:val="22"/>
        </w:rPr>
        <w:t>Alb</w:t>
      </w:r>
      <w:r>
        <w:rPr>
          <w:rFonts w:ascii="Tahoma" w:hAnsi="Tahoma" w:cs="Tahoma"/>
          <w:sz w:val="22"/>
          <w:szCs w:val="22"/>
        </w:rPr>
        <w:t>a</w:t>
      </w:r>
      <w:r w:rsidRPr="00B0539F">
        <w:rPr>
          <w:rFonts w:ascii="Tahoma" w:hAnsi="Tahoma" w:cs="Tahoma"/>
          <w:sz w:val="22"/>
          <w:szCs w:val="22"/>
        </w:rPr>
        <w:t>cete.</w:t>
      </w:r>
      <w:r w:rsidR="00750DE8" w:rsidRPr="00B0539F">
        <w:rPr>
          <w:rFonts w:ascii="Tahoma" w:hAnsi="Tahoma" w:cs="Tahoma"/>
          <w:sz w:val="22"/>
          <w:szCs w:val="22"/>
        </w:rPr>
        <w:t xml:space="preserve"> Durante el transcurso de la feria, se podrá visitar el stand de Soliss Seguros y recibir asesoramiento en materia de seguros</w:t>
      </w:r>
      <w:r w:rsidRPr="00B0539F">
        <w:rPr>
          <w:rFonts w:ascii="Tahoma" w:hAnsi="Tahoma" w:cs="Tahoma"/>
          <w:sz w:val="22"/>
          <w:szCs w:val="22"/>
        </w:rPr>
        <w:t xml:space="preserve">; y </w:t>
      </w:r>
      <w:r w:rsidR="00750DE8" w:rsidRPr="00B0539F">
        <w:rPr>
          <w:rFonts w:ascii="Tahoma" w:hAnsi="Tahoma" w:cs="Tahoma"/>
          <w:sz w:val="22"/>
          <w:szCs w:val="22"/>
        </w:rPr>
        <w:t>BBVA</w:t>
      </w:r>
      <w:r>
        <w:rPr>
          <w:rFonts w:ascii="Tahoma" w:hAnsi="Tahoma" w:cs="Tahoma"/>
          <w:sz w:val="22"/>
          <w:szCs w:val="22"/>
        </w:rPr>
        <w:t>,</w:t>
      </w:r>
      <w:r w:rsidR="00750DE8" w:rsidRPr="00B0539F">
        <w:rPr>
          <w:rFonts w:ascii="Tahoma" w:hAnsi="Tahoma" w:cs="Tahoma"/>
          <w:sz w:val="22"/>
          <w:szCs w:val="22"/>
        </w:rPr>
        <w:t xml:space="preserve"> entidad bancaria que informará sobre sus productos y servicios a todos los visitantes que visiten </w:t>
      </w:r>
      <w:r w:rsidRPr="00B0539F">
        <w:rPr>
          <w:rFonts w:ascii="Tahoma" w:hAnsi="Tahoma" w:cs="Tahoma"/>
          <w:sz w:val="22"/>
          <w:szCs w:val="22"/>
        </w:rPr>
        <w:t>FERIMOTOR</w:t>
      </w:r>
      <w:r w:rsidR="00750DE8" w:rsidRPr="00B0539F">
        <w:rPr>
          <w:rFonts w:ascii="Tahoma" w:hAnsi="Tahoma" w:cs="Tahoma"/>
          <w:sz w:val="22"/>
          <w:szCs w:val="22"/>
        </w:rPr>
        <w:t xml:space="preserve"> en estos días.</w:t>
      </w:r>
    </w:p>
    <w:p w14:paraId="19CC7902" w14:textId="77777777" w:rsidR="00750DE8" w:rsidRPr="00416066" w:rsidRDefault="00750DE8" w:rsidP="00750DE8">
      <w:pPr>
        <w:spacing w:before="51"/>
        <w:ind w:left="841" w:right="111"/>
        <w:rPr>
          <w:rFonts w:ascii="Tahoma" w:hAnsi="Tahoma" w:cs="Tahoma"/>
          <w:szCs w:val="24"/>
        </w:rPr>
      </w:pPr>
    </w:p>
    <w:p w14:paraId="770B6276" w14:textId="278C1ADE" w:rsidR="00750DE8" w:rsidRPr="00B0539F" w:rsidRDefault="00B0539F" w:rsidP="00750DE8">
      <w:pPr>
        <w:pStyle w:val="Ttulo1"/>
        <w:ind w:right="110"/>
        <w:rPr>
          <w:rFonts w:ascii="Tahoma" w:hAnsi="Tahoma" w:cs="Tahoma"/>
          <w:b w:val="0"/>
          <w:bCs/>
          <w:sz w:val="22"/>
          <w:szCs w:val="22"/>
        </w:rPr>
      </w:pPr>
      <w:r w:rsidRPr="00B0539F">
        <w:rPr>
          <w:rFonts w:ascii="Tahoma" w:hAnsi="Tahoma" w:cs="Tahoma"/>
          <w:b w:val="0"/>
          <w:bCs/>
          <w:sz w:val="22"/>
          <w:szCs w:val="22"/>
        </w:rPr>
        <w:t>Y destacar, como se viene haciendo en cada edición, que de</w:t>
      </w:r>
      <w:r w:rsidR="00750DE8" w:rsidRPr="00B0539F">
        <w:rPr>
          <w:rFonts w:ascii="Tahoma" w:hAnsi="Tahoma" w:cs="Tahoma"/>
          <w:b w:val="0"/>
          <w:bCs/>
          <w:sz w:val="22"/>
          <w:szCs w:val="22"/>
        </w:rPr>
        <w:t>ntro de la responsabilidad social corporativa de APRECA</w:t>
      </w:r>
      <w:r>
        <w:rPr>
          <w:rFonts w:ascii="Tahoma" w:hAnsi="Tahoma" w:cs="Tahoma"/>
          <w:b w:val="0"/>
          <w:bCs/>
          <w:sz w:val="22"/>
          <w:szCs w:val="22"/>
        </w:rPr>
        <w:t>,</w:t>
      </w:r>
      <w:r w:rsidR="00750DE8" w:rsidRPr="00B0539F">
        <w:rPr>
          <w:rFonts w:ascii="Tahoma" w:hAnsi="Tahoma" w:cs="Tahoma"/>
          <w:b w:val="0"/>
          <w:bCs/>
          <w:sz w:val="22"/>
          <w:szCs w:val="22"/>
        </w:rPr>
        <w:t xml:space="preserve"> al finalizar la feria se realizará un donativo a la Fundación Banco de Alimentos de Albacete, por las ventas en FERIMOTOR.</w:t>
      </w:r>
    </w:p>
    <w:p w14:paraId="0ACD4301" w14:textId="77777777" w:rsidR="00750DE8" w:rsidRPr="00B0539F" w:rsidRDefault="00750DE8" w:rsidP="00750DE8">
      <w:pPr>
        <w:pStyle w:val="Ttulo1"/>
        <w:ind w:right="110"/>
        <w:rPr>
          <w:rFonts w:ascii="Tahoma" w:hAnsi="Tahoma" w:cs="Tahoma"/>
          <w:b w:val="0"/>
          <w:bCs/>
          <w:sz w:val="22"/>
          <w:szCs w:val="22"/>
        </w:rPr>
      </w:pPr>
    </w:p>
    <w:p w14:paraId="7F9033D5" w14:textId="05083955" w:rsidR="00750DE8" w:rsidRPr="00B0539F" w:rsidRDefault="00750DE8" w:rsidP="00750DE8">
      <w:pPr>
        <w:pStyle w:val="Textoindependiente"/>
        <w:spacing w:before="12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B0539F">
        <w:rPr>
          <w:rFonts w:ascii="Tahoma" w:hAnsi="Tahoma" w:cs="Tahoma"/>
          <w:b w:val="0"/>
          <w:bCs/>
          <w:sz w:val="22"/>
          <w:szCs w:val="22"/>
        </w:rPr>
        <w:t xml:space="preserve">FERIMOTOR se ha consolidado como una de las  ferias más </w:t>
      </w:r>
      <w:r w:rsidR="00B0539F">
        <w:rPr>
          <w:rFonts w:ascii="Tahoma" w:hAnsi="Tahoma" w:cs="Tahoma"/>
          <w:b w:val="0"/>
          <w:bCs/>
          <w:sz w:val="22"/>
          <w:szCs w:val="22"/>
        </w:rPr>
        <w:t xml:space="preserve">atractivas </w:t>
      </w:r>
      <w:r w:rsidRPr="00B0539F">
        <w:rPr>
          <w:rFonts w:ascii="Tahoma" w:hAnsi="Tahoma" w:cs="Tahoma"/>
          <w:b w:val="0"/>
          <w:bCs/>
          <w:sz w:val="22"/>
          <w:szCs w:val="22"/>
        </w:rPr>
        <w:t>del calendario ferial</w:t>
      </w:r>
      <w:r w:rsidR="00B0539F">
        <w:rPr>
          <w:rFonts w:ascii="Tahoma" w:hAnsi="Tahoma" w:cs="Tahoma"/>
          <w:b w:val="0"/>
          <w:bCs/>
          <w:sz w:val="22"/>
          <w:szCs w:val="22"/>
        </w:rPr>
        <w:t xml:space="preserve"> de Albacete y provincia.</w:t>
      </w:r>
    </w:p>
    <w:p w14:paraId="3B0B8AA1" w14:textId="77777777" w:rsidR="00383C8B" w:rsidRPr="00750DE8" w:rsidRDefault="00383C8B" w:rsidP="00383C8B">
      <w:pPr>
        <w:pStyle w:val="Textosinformato"/>
        <w:jc w:val="both"/>
        <w:rPr>
          <w:rFonts w:ascii="Tahoma" w:hAnsi="Tahoma" w:cs="Tahoma"/>
          <w:szCs w:val="22"/>
        </w:rPr>
      </w:pPr>
    </w:p>
    <w:p w14:paraId="4C1CAE1C" w14:textId="77777777" w:rsidR="00383C8B" w:rsidRPr="00750DE8" w:rsidRDefault="00383C8B" w:rsidP="00383C8B">
      <w:pPr>
        <w:pStyle w:val="Textosinformato"/>
        <w:jc w:val="both"/>
        <w:rPr>
          <w:rFonts w:ascii="Tahoma" w:hAnsi="Tahoma" w:cs="Tahoma"/>
          <w:szCs w:val="22"/>
        </w:rPr>
      </w:pPr>
    </w:p>
    <w:p w14:paraId="37824EE4" w14:textId="77777777" w:rsidR="009F4EF6" w:rsidRDefault="009F4EF6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9F4EF6" w:rsidSect="00702694">
      <w:headerReference w:type="default" r:id="rId8"/>
      <w:footerReference w:type="even" r:id="rId9"/>
      <w:footerReference w:type="default" r:id="rId1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19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1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0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2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24"/>
  </w:num>
  <w:num w:numId="7" w16cid:durableId="178743476">
    <w:abstractNumId w:val="15"/>
  </w:num>
  <w:num w:numId="8" w16cid:durableId="1270041694">
    <w:abstractNumId w:val="14"/>
  </w:num>
  <w:num w:numId="9" w16cid:durableId="755827841">
    <w:abstractNumId w:val="7"/>
  </w:num>
  <w:num w:numId="10" w16cid:durableId="1609311840">
    <w:abstractNumId w:val="33"/>
  </w:num>
  <w:num w:numId="11" w16cid:durableId="1610238958">
    <w:abstractNumId w:val="26"/>
  </w:num>
  <w:num w:numId="12" w16cid:durableId="1665746039">
    <w:abstractNumId w:val="9"/>
  </w:num>
  <w:num w:numId="13" w16cid:durableId="2012640009">
    <w:abstractNumId w:val="31"/>
  </w:num>
  <w:num w:numId="14" w16cid:durableId="1340423164">
    <w:abstractNumId w:val="30"/>
  </w:num>
  <w:num w:numId="15" w16cid:durableId="1252079421">
    <w:abstractNumId w:val="10"/>
  </w:num>
  <w:num w:numId="16" w16cid:durableId="1335575114">
    <w:abstractNumId w:val="25"/>
  </w:num>
  <w:num w:numId="17" w16cid:durableId="1911570808">
    <w:abstractNumId w:val="27"/>
  </w:num>
  <w:num w:numId="18" w16cid:durableId="938104421">
    <w:abstractNumId w:val="11"/>
  </w:num>
  <w:num w:numId="19" w16cid:durableId="845637126">
    <w:abstractNumId w:val="19"/>
  </w:num>
  <w:num w:numId="20" w16cid:durableId="1489443580">
    <w:abstractNumId w:val="8"/>
  </w:num>
  <w:num w:numId="21" w16cid:durableId="1663315">
    <w:abstractNumId w:val="32"/>
  </w:num>
  <w:num w:numId="22" w16cid:durableId="1615405616">
    <w:abstractNumId w:val="22"/>
  </w:num>
  <w:num w:numId="23" w16cid:durableId="13774364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28"/>
  </w:num>
  <w:num w:numId="25" w16cid:durableId="533688712">
    <w:abstractNumId w:val="23"/>
  </w:num>
  <w:num w:numId="26" w16cid:durableId="2058816563">
    <w:abstractNumId w:val="12"/>
  </w:num>
  <w:num w:numId="27" w16cid:durableId="2089376775">
    <w:abstractNumId w:val="16"/>
  </w:num>
  <w:num w:numId="28" w16cid:durableId="1817867357">
    <w:abstractNumId w:val="17"/>
  </w:num>
  <w:num w:numId="29" w16cid:durableId="1397780837">
    <w:abstractNumId w:val="13"/>
  </w:num>
  <w:num w:numId="30" w16cid:durableId="1002464399">
    <w:abstractNumId w:val="20"/>
  </w:num>
  <w:num w:numId="31" w16cid:durableId="359933923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1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66E78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0129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140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2999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Expertos Tecnología</cp:lastModifiedBy>
  <cp:revision>3</cp:revision>
  <cp:lastPrinted>2024-11-15T09:28:00Z</cp:lastPrinted>
  <dcterms:created xsi:type="dcterms:W3CDTF">2025-04-24T09:51:00Z</dcterms:created>
  <dcterms:modified xsi:type="dcterms:W3CDTF">2025-04-24T15:05:00Z</dcterms:modified>
</cp:coreProperties>
</file>