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77777777" w:rsidR="00303D13" w:rsidRDefault="00303D13" w:rsidP="00190DA7">
      <w:pPr>
        <w:jc w:val="right"/>
        <w:rPr>
          <w:rFonts w:ascii="Tahoma" w:hAnsi="Tahoma" w:cs="Tahoma"/>
          <w:bCs/>
          <w:sz w:val="22"/>
          <w:szCs w:val="22"/>
        </w:rPr>
      </w:pPr>
    </w:p>
    <w:p w14:paraId="651448EE" w14:textId="6718B645" w:rsidR="00960724" w:rsidRDefault="00960724" w:rsidP="00190DA7">
      <w:pPr>
        <w:jc w:val="right"/>
        <w:rPr>
          <w:rFonts w:ascii="Tahoma" w:hAnsi="Tahoma" w:cs="Tahoma"/>
          <w:bCs/>
          <w:sz w:val="22"/>
          <w:szCs w:val="22"/>
        </w:rPr>
      </w:pPr>
      <w:r>
        <w:rPr>
          <w:rFonts w:ascii="Tahoma" w:hAnsi="Tahoma" w:cs="Tahoma"/>
          <w:bCs/>
          <w:sz w:val="22"/>
          <w:szCs w:val="22"/>
        </w:rPr>
        <w:t xml:space="preserve">Albacete, </w:t>
      </w:r>
      <w:r w:rsidR="003105DE">
        <w:rPr>
          <w:rFonts w:ascii="Tahoma" w:hAnsi="Tahoma" w:cs="Tahoma"/>
          <w:bCs/>
          <w:sz w:val="22"/>
          <w:szCs w:val="22"/>
        </w:rPr>
        <w:t>10</w:t>
      </w:r>
      <w:r>
        <w:rPr>
          <w:rFonts w:ascii="Tahoma" w:hAnsi="Tahoma" w:cs="Tahoma"/>
          <w:bCs/>
          <w:sz w:val="22"/>
          <w:szCs w:val="22"/>
        </w:rPr>
        <w:t xml:space="preserve"> de ju</w:t>
      </w:r>
      <w:r w:rsidR="00DA3942">
        <w:rPr>
          <w:rFonts w:ascii="Tahoma" w:hAnsi="Tahoma" w:cs="Tahoma"/>
          <w:bCs/>
          <w:sz w:val="22"/>
          <w:szCs w:val="22"/>
        </w:rPr>
        <w:t>l</w:t>
      </w:r>
      <w:r>
        <w:rPr>
          <w:rFonts w:ascii="Tahoma" w:hAnsi="Tahoma" w:cs="Tahoma"/>
          <w:bCs/>
          <w:sz w:val="22"/>
          <w:szCs w:val="22"/>
        </w:rPr>
        <w:t>io de 2025</w:t>
      </w:r>
    </w:p>
    <w:p w14:paraId="3209221A" w14:textId="77777777" w:rsidR="008C5010" w:rsidRDefault="008C5010" w:rsidP="00190DA7">
      <w:pPr>
        <w:jc w:val="right"/>
        <w:rPr>
          <w:rFonts w:ascii="Tahoma" w:hAnsi="Tahoma" w:cs="Tahoma"/>
          <w:bCs/>
          <w:sz w:val="22"/>
          <w:szCs w:val="22"/>
        </w:rPr>
      </w:pPr>
    </w:p>
    <w:p w14:paraId="502EE9D0" w14:textId="4143CB6B" w:rsidR="008C5010" w:rsidRDefault="008C5010" w:rsidP="008C5010">
      <w:pPr>
        <w:jc w:val="center"/>
        <w:rPr>
          <w:rFonts w:ascii="Tahoma" w:hAnsi="Tahoma" w:cs="Tahoma"/>
          <w:b/>
          <w:sz w:val="32"/>
          <w:szCs w:val="32"/>
        </w:rPr>
      </w:pPr>
      <w:r w:rsidRPr="008C5010">
        <w:rPr>
          <w:rFonts w:ascii="Tahoma" w:hAnsi="Tahoma" w:cs="Tahoma"/>
          <w:b/>
          <w:sz w:val="32"/>
          <w:szCs w:val="32"/>
        </w:rPr>
        <w:t>ATRALBA, Gobierno regional y CC.OO siguen poniendo el foco en la prevención de patologías no traumáticas en el sector del transporte</w:t>
      </w:r>
    </w:p>
    <w:p w14:paraId="46FF270B" w14:textId="77777777" w:rsidR="008C5010" w:rsidRDefault="008C5010" w:rsidP="008C5010">
      <w:pPr>
        <w:jc w:val="center"/>
        <w:rPr>
          <w:rFonts w:ascii="Tahoma" w:hAnsi="Tahoma" w:cs="Tahoma"/>
          <w:b/>
          <w:sz w:val="32"/>
          <w:szCs w:val="32"/>
        </w:rPr>
      </w:pPr>
    </w:p>
    <w:p w14:paraId="4DD040E3" w14:textId="7ABC3C86" w:rsidR="008C5010" w:rsidRDefault="008C5010" w:rsidP="00303D13">
      <w:pPr>
        <w:pStyle w:val="Prrafodelista"/>
        <w:numPr>
          <w:ilvl w:val="0"/>
          <w:numId w:val="8"/>
        </w:numPr>
        <w:spacing w:line="240" w:lineRule="auto"/>
        <w:jc w:val="center"/>
        <w:rPr>
          <w:rFonts w:ascii="Tahoma" w:hAnsi="Tahoma" w:cs="Tahoma"/>
          <w:b/>
        </w:rPr>
      </w:pPr>
      <w:r>
        <w:rPr>
          <w:rFonts w:ascii="Tahoma" w:hAnsi="Tahoma" w:cs="Tahoma"/>
          <w:b/>
        </w:rPr>
        <w:t>Una jornada técnica celebrada en FEDA para ayudar a reconocer los síntomas de alerta de afecciones cardíacas y accidentes cerebrovasculares</w:t>
      </w:r>
    </w:p>
    <w:p w14:paraId="7271A76F" w14:textId="3DCE391F" w:rsidR="00303D13" w:rsidRPr="008C5010" w:rsidRDefault="00303D13" w:rsidP="00303D13">
      <w:pPr>
        <w:pStyle w:val="Prrafodelista"/>
        <w:numPr>
          <w:ilvl w:val="0"/>
          <w:numId w:val="8"/>
        </w:numPr>
        <w:spacing w:line="240" w:lineRule="auto"/>
        <w:jc w:val="center"/>
        <w:rPr>
          <w:rFonts w:ascii="Tahoma" w:hAnsi="Tahoma" w:cs="Tahoma"/>
          <w:b/>
        </w:rPr>
      </w:pPr>
      <w:r>
        <w:rPr>
          <w:rFonts w:ascii="Tahoma" w:hAnsi="Tahoma" w:cs="Tahoma"/>
          <w:b/>
        </w:rPr>
        <w:t xml:space="preserve">Al menos, estos consejos han llegado </w:t>
      </w:r>
      <w:r w:rsidRPr="00303D13">
        <w:rPr>
          <w:rFonts w:ascii="Tahoma" w:hAnsi="Tahoma" w:cs="Tahoma"/>
          <w:b/>
        </w:rPr>
        <w:t xml:space="preserve">a </w:t>
      </w:r>
      <w:r w:rsidRPr="001D5B48">
        <w:rPr>
          <w:rFonts w:ascii="Tahoma" w:eastAsiaTheme="minorHAnsi" w:hAnsi="Tahoma" w:cs="Tahoma"/>
          <w:b/>
        </w:rPr>
        <w:t>más de 200 empresas de profesionales del sector transporte entre mercancías y autobuses y a 4</w:t>
      </w:r>
      <w:r w:rsidRPr="00303D13">
        <w:rPr>
          <w:rFonts w:ascii="Tahoma" w:eastAsiaTheme="minorHAnsi" w:hAnsi="Tahoma" w:cs="Tahoma"/>
          <w:b/>
        </w:rPr>
        <w:t>.</w:t>
      </w:r>
      <w:r w:rsidRPr="001D5B48">
        <w:rPr>
          <w:rFonts w:ascii="Tahoma" w:eastAsiaTheme="minorHAnsi" w:hAnsi="Tahoma" w:cs="Tahoma"/>
          <w:b/>
        </w:rPr>
        <w:t>000 trabajadores</w:t>
      </w:r>
    </w:p>
    <w:p w14:paraId="2477550F" w14:textId="77777777" w:rsidR="00785F54" w:rsidRDefault="00785F54" w:rsidP="00190DA7">
      <w:pPr>
        <w:jc w:val="right"/>
        <w:rPr>
          <w:rFonts w:ascii="Tahoma" w:hAnsi="Tahoma" w:cs="Tahoma"/>
          <w:bCs/>
          <w:sz w:val="22"/>
          <w:szCs w:val="22"/>
        </w:rPr>
      </w:pPr>
    </w:p>
    <w:p w14:paraId="390D6EDB" w14:textId="308AC04D" w:rsidR="001D5B48" w:rsidRPr="001D5B48" w:rsidRDefault="001D5B48" w:rsidP="001D5B48">
      <w:pPr>
        <w:spacing w:before="100" w:beforeAutospacing="1" w:after="100" w:afterAutospacing="1"/>
        <w:rPr>
          <w:rFonts w:ascii="Tahoma" w:hAnsi="Tahoma" w:cs="Tahoma"/>
          <w:sz w:val="22"/>
          <w:szCs w:val="22"/>
          <w:lang w:val="es-ES"/>
        </w:rPr>
      </w:pPr>
      <w:r w:rsidRPr="001D5B48">
        <w:rPr>
          <w:rFonts w:ascii="Tahoma" w:hAnsi="Tahoma" w:cs="Tahoma"/>
          <w:sz w:val="22"/>
          <w:szCs w:val="22"/>
          <w:lang w:val="es-ES"/>
        </w:rPr>
        <w:t>La</w:t>
      </w:r>
      <w:r w:rsidRPr="001D5B48">
        <w:rPr>
          <w:rFonts w:ascii="Tahoma" w:hAnsi="Tahoma" w:cs="Tahoma"/>
          <w:color w:val="002060"/>
          <w:sz w:val="22"/>
          <w:szCs w:val="22"/>
          <w:lang w:val="es-ES"/>
        </w:rPr>
        <w:t xml:space="preserve"> </w:t>
      </w:r>
      <w:hyperlink r:id="rId8" w:history="1">
        <w:r w:rsidRPr="001D5B48">
          <w:rPr>
            <w:rFonts w:ascii="Tahoma" w:hAnsi="Tahoma" w:cs="Tahoma"/>
            <w:color w:val="0563C1" w:themeColor="hyperlink"/>
            <w:sz w:val="22"/>
            <w:szCs w:val="22"/>
            <w:u w:val="single"/>
            <w:lang w:val="es-ES"/>
          </w:rPr>
          <w:t>Asociación de empresarios de Transporte de mercancías por carretera (ATRALBA)</w:t>
        </w:r>
      </w:hyperlink>
      <w:r w:rsidRPr="001D5B48">
        <w:rPr>
          <w:rFonts w:ascii="Tahoma" w:hAnsi="Tahoma" w:cs="Tahoma"/>
          <w:color w:val="0563C1" w:themeColor="hyperlink"/>
          <w:sz w:val="22"/>
          <w:szCs w:val="22"/>
          <w:u w:val="single"/>
          <w:lang w:val="es-ES"/>
        </w:rPr>
        <w:t xml:space="preserve">, </w:t>
      </w:r>
      <w:r w:rsidRPr="001D5B48">
        <w:rPr>
          <w:rFonts w:ascii="Tahoma" w:hAnsi="Tahoma" w:cs="Tahoma"/>
          <w:color w:val="002060"/>
          <w:sz w:val="22"/>
          <w:szCs w:val="22"/>
          <w:lang w:val="es-ES"/>
        </w:rPr>
        <w:t xml:space="preserve">integrada en </w:t>
      </w:r>
      <w:hyperlink r:id="rId9" w:history="1">
        <w:r w:rsidRPr="001D5B48">
          <w:rPr>
            <w:rFonts w:ascii="Tahoma" w:hAnsi="Tahoma" w:cs="Tahoma"/>
            <w:color w:val="0563C1" w:themeColor="hyperlink"/>
            <w:sz w:val="22"/>
            <w:szCs w:val="22"/>
            <w:u w:val="single"/>
            <w:lang w:val="es-ES"/>
          </w:rPr>
          <w:t>FEDA</w:t>
        </w:r>
      </w:hyperlink>
      <w:r w:rsidRPr="001D5B48">
        <w:rPr>
          <w:rFonts w:ascii="Tahoma" w:hAnsi="Tahoma" w:cs="Tahoma"/>
          <w:color w:val="002060"/>
          <w:sz w:val="22"/>
          <w:szCs w:val="22"/>
          <w:lang w:val="es-ES"/>
        </w:rPr>
        <w:t xml:space="preserve">, </w:t>
      </w:r>
      <w:r w:rsidR="00303D13" w:rsidRPr="00303D13">
        <w:rPr>
          <w:rFonts w:ascii="Tahoma" w:hAnsi="Tahoma" w:cs="Tahoma"/>
          <w:sz w:val="22"/>
          <w:szCs w:val="22"/>
          <w:lang w:val="es-ES"/>
        </w:rPr>
        <w:t xml:space="preserve">integrada en </w:t>
      </w:r>
      <w:hyperlink r:id="rId10" w:history="1">
        <w:r w:rsidR="00303D13" w:rsidRPr="00303D13">
          <w:rPr>
            <w:rStyle w:val="Hipervnculo"/>
            <w:rFonts w:ascii="Tahoma" w:hAnsi="Tahoma" w:cs="Tahoma"/>
            <w:sz w:val="22"/>
            <w:szCs w:val="22"/>
            <w:lang w:val="es-ES"/>
          </w:rPr>
          <w:t>FEDA</w:t>
        </w:r>
      </w:hyperlink>
      <w:r w:rsidR="00303D13" w:rsidRPr="00303D13">
        <w:rPr>
          <w:rFonts w:ascii="Tahoma" w:hAnsi="Tahoma" w:cs="Tahoma"/>
          <w:sz w:val="22"/>
          <w:szCs w:val="22"/>
          <w:lang w:val="es-ES"/>
        </w:rPr>
        <w:t xml:space="preserve">, </w:t>
      </w:r>
      <w:r w:rsidRPr="001D5B48">
        <w:rPr>
          <w:rFonts w:ascii="Tahoma" w:hAnsi="Tahoma" w:cs="Tahoma"/>
          <w:sz w:val="22"/>
          <w:szCs w:val="22"/>
          <w:lang w:val="es-ES"/>
        </w:rPr>
        <w:t xml:space="preserve">ha celebrado una </w:t>
      </w:r>
      <w:r w:rsidR="008C5010">
        <w:rPr>
          <w:rFonts w:ascii="Tahoma" w:hAnsi="Tahoma" w:cs="Tahoma"/>
          <w:sz w:val="22"/>
          <w:szCs w:val="22"/>
          <w:lang w:val="es-ES"/>
        </w:rPr>
        <w:t>j</w:t>
      </w:r>
      <w:r w:rsidRPr="001D5B48">
        <w:rPr>
          <w:rFonts w:ascii="Tahoma" w:hAnsi="Tahoma" w:cs="Tahoma"/>
          <w:sz w:val="22"/>
          <w:szCs w:val="22"/>
          <w:lang w:val="es-ES"/>
        </w:rPr>
        <w:t xml:space="preserve">ornada </w:t>
      </w:r>
      <w:r w:rsidR="008C5010">
        <w:rPr>
          <w:rFonts w:ascii="Tahoma" w:hAnsi="Tahoma" w:cs="Tahoma"/>
          <w:sz w:val="22"/>
          <w:szCs w:val="22"/>
          <w:lang w:val="es-ES"/>
        </w:rPr>
        <w:t>t</w:t>
      </w:r>
      <w:r w:rsidRPr="001D5B48">
        <w:rPr>
          <w:rFonts w:ascii="Tahoma" w:hAnsi="Tahoma" w:cs="Tahoma"/>
          <w:sz w:val="22"/>
          <w:szCs w:val="22"/>
          <w:lang w:val="es-ES"/>
        </w:rPr>
        <w:t>écnica sobre la importancia de la prevención de patologías no traumáticas en el sector de transporte junto la Junta de Comunidades de Castilla-La Mancha y CCOO</w:t>
      </w:r>
      <w:r w:rsidR="008C5010">
        <w:rPr>
          <w:rFonts w:ascii="Tahoma" w:hAnsi="Tahoma" w:cs="Tahoma"/>
          <w:sz w:val="22"/>
          <w:szCs w:val="22"/>
          <w:lang w:val="es-ES"/>
        </w:rPr>
        <w:t>,</w:t>
      </w:r>
      <w:r w:rsidRPr="001D5B48">
        <w:rPr>
          <w:rFonts w:ascii="Tahoma" w:hAnsi="Tahoma" w:cs="Tahoma"/>
          <w:sz w:val="22"/>
          <w:szCs w:val="22"/>
          <w:lang w:val="es-ES"/>
        </w:rPr>
        <w:t xml:space="preserve"> como continuación y segunda parte de la campaña iniciada el pasado mes de marzo.</w:t>
      </w:r>
    </w:p>
    <w:p w14:paraId="536292DC" w14:textId="33AAD2AC" w:rsidR="001D5B48" w:rsidRPr="001D5B48" w:rsidRDefault="001D5B48" w:rsidP="001D5B48">
      <w:pPr>
        <w:shd w:val="clear" w:color="auto" w:fill="FFFFFF"/>
        <w:spacing w:after="150"/>
        <w:rPr>
          <w:rFonts w:ascii="Times New Roman" w:hAnsi="Times New Roman"/>
          <w:szCs w:val="24"/>
          <w:lang w:val="es-ES"/>
        </w:rPr>
      </w:pPr>
      <w:r w:rsidRPr="001D5B48">
        <w:rPr>
          <w:rFonts w:ascii="Tahoma" w:hAnsi="Tahoma" w:cs="Tahoma"/>
          <w:sz w:val="22"/>
          <w:szCs w:val="22"/>
          <w:lang w:val="es-ES"/>
        </w:rPr>
        <w:t xml:space="preserve">La campaña constaba de folletos informativos y de la difusión de vídeos a través de las redes sociales y en dar traslado de </w:t>
      </w:r>
      <w:r w:rsidR="008C5010" w:rsidRPr="001D5B48">
        <w:rPr>
          <w:rFonts w:ascii="Tahoma" w:hAnsi="Tahoma" w:cs="Tahoma"/>
          <w:sz w:val="22"/>
          <w:szCs w:val="22"/>
          <w:lang w:val="es-ES"/>
        </w:rPr>
        <w:t>estos</w:t>
      </w:r>
      <w:r w:rsidRPr="001D5B48">
        <w:rPr>
          <w:rFonts w:ascii="Tahoma" w:hAnsi="Tahoma" w:cs="Tahoma"/>
          <w:sz w:val="22"/>
          <w:szCs w:val="22"/>
          <w:lang w:val="es-ES"/>
        </w:rPr>
        <w:t xml:space="preserve"> entre los trabajadores del sector. La segunda parte de la campaña consistía en la celebración de una jornada en prevención de patologías no traumáticas en el transporte.</w:t>
      </w:r>
    </w:p>
    <w:p w14:paraId="07A8F0D2" w14:textId="3C0F1BB6" w:rsidR="001D5B48" w:rsidRPr="001D5B48" w:rsidRDefault="001D5B48" w:rsidP="001D5B48">
      <w:pPr>
        <w:spacing w:before="100" w:beforeAutospacing="1" w:after="100" w:afterAutospacing="1"/>
        <w:rPr>
          <w:rFonts w:ascii="Tahoma" w:hAnsi="Tahoma" w:cs="Tahoma"/>
          <w:sz w:val="22"/>
          <w:szCs w:val="22"/>
          <w:lang w:val="es-ES"/>
        </w:rPr>
      </w:pPr>
      <w:r w:rsidRPr="001D5B48">
        <w:rPr>
          <w:rFonts w:ascii="Tahoma" w:hAnsi="Tahoma" w:cs="Tahoma"/>
          <w:sz w:val="22"/>
          <w:szCs w:val="22"/>
          <w:lang w:val="es-ES"/>
        </w:rPr>
        <w:t xml:space="preserve">El objetivo de esta </w:t>
      </w:r>
      <w:r w:rsidR="008C5010">
        <w:rPr>
          <w:rFonts w:ascii="Tahoma" w:hAnsi="Tahoma" w:cs="Tahoma"/>
          <w:sz w:val="22"/>
          <w:szCs w:val="22"/>
          <w:lang w:val="es-ES"/>
        </w:rPr>
        <w:t>j</w:t>
      </w:r>
      <w:r w:rsidRPr="001D5B48">
        <w:rPr>
          <w:rFonts w:ascii="Tahoma" w:hAnsi="Tahoma" w:cs="Tahoma"/>
          <w:sz w:val="22"/>
          <w:szCs w:val="22"/>
          <w:lang w:val="es-ES"/>
        </w:rPr>
        <w:t>ornada ha sido ayudar a reconocer los síntomas de alerta de afecciones cardíacas (infartos) y accidentes cerebrovasculares (ictus)</w:t>
      </w:r>
      <w:r w:rsidR="008C5010">
        <w:rPr>
          <w:rFonts w:ascii="Tahoma" w:hAnsi="Tahoma" w:cs="Tahoma"/>
          <w:sz w:val="22"/>
          <w:szCs w:val="22"/>
          <w:lang w:val="es-ES"/>
        </w:rPr>
        <w:t>,</w:t>
      </w:r>
      <w:r w:rsidRPr="001D5B48">
        <w:rPr>
          <w:rFonts w:ascii="Tahoma" w:hAnsi="Tahoma" w:cs="Tahoma"/>
          <w:sz w:val="22"/>
          <w:szCs w:val="22"/>
          <w:lang w:val="es-ES"/>
        </w:rPr>
        <w:t xml:space="preserve"> dado que la profesión de conductor implica pasar muchas horas en la carretera con el considerable nivel de estrés y carga física que puede afectar a su salud a la vez que introducir medidas preventivas que ayuden a reducir estas patologías.</w:t>
      </w:r>
    </w:p>
    <w:p w14:paraId="772B552B" w14:textId="7CED737B" w:rsidR="001D5B48" w:rsidRPr="001D5B48" w:rsidRDefault="001D5B48" w:rsidP="001D5B48">
      <w:pPr>
        <w:spacing w:after="160" w:line="259" w:lineRule="auto"/>
        <w:rPr>
          <w:rFonts w:ascii="Tahoma" w:eastAsiaTheme="minorHAnsi" w:hAnsi="Tahoma" w:cs="Tahoma"/>
          <w:szCs w:val="24"/>
          <w:lang w:val="es-ES" w:eastAsia="en-US"/>
        </w:rPr>
      </w:pPr>
      <w:r w:rsidRPr="001D5B48">
        <w:rPr>
          <w:rFonts w:ascii="Tahoma" w:eastAsiaTheme="minorHAnsi" w:hAnsi="Tahoma" w:cs="Tahoma"/>
          <w:sz w:val="22"/>
          <w:szCs w:val="22"/>
          <w:lang w:val="es-ES" w:eastAsia="en-US"/>
        </w:rPr>
        <w:t xml:space="preserve">En </w:t>
      </w:r>
      <w:r w:rsidR="008C5010">
        <w:rPr>
          <w:rFonts w:ascii="Tahoma" w:eastAsiaTheme="minorHAnsi" w:hAnsi="Tahoma" w:cs="Tahoma"/>
          <w:sz w:val="22"/>
          <w:szCs w:val="22"/>
          <w:lang w:val="es-ES" w:eastAsia="en-US"/>
        </w:rPr>
        <w:t xml:space="preserve">la apertura </w:t>
      </w:r>
      <w:r w:rsidRPr="001D5B48">
        <w:rPr>
          <w:rFonts w:ascii="Tahoma" w:eastAsiaTheme="minorHAnsi" w:hAnsi="Tahoma" w:cs="Tahoma"/>
          <w:sz w:val="22"/>
          <w:szCs w:val="22"/>
          <w:lang w:val="es-ES" w:eastAsia="en-US"/>
        </w:rPr>
        <w:t>han participado Nicolas Merino</w:t>
      </w:r>
      <w:r w:rsidR="008C5010">
        <w:rPr>
          <w:rFonts w:ascii="Tahoma" w:eastAsiaTheme="minorHAnsi" w:hAnsi="Tahoma" w:cs="Tahoma"/>
          <w:sz w:val="22"/>
          <w:szCs w:val="22"/>
          <w:lang w:val="es-ES" w:eastAsia="en-US"/>
        </w:rPr>
        <w:t xml:space="preserve"> de</w:t>
      </w:r>
      <w:r w:rsidRPr="001D5B48">
        <w:rPr>
          <w:rFonts w:ascii="Tahoma" w:eastAsiaTheme="minorHAnsi" w:hAnsi="Tahoma" w:cs="Tahoma"/>
          <w:sz w:val="22"/>
          <w:szCs w:val="22"/>
          <w:lang w:val="es-ES" w:eastAsia="en-US"/>
        </w:rPr>
        <w:t xml:space="preserve">legado </w:t>
      </w:r>
      <w:r w:rsidR="008C5010">
        <w:rPr>
          <w:rFonts w:ascii="Tahoma" w:eastAsiaTheme="minorHAnsi" w:hAnsi="Tahoma" w:cs="Tahoma"/>
          <w:sz w:val="22"/>
          <w:szCs w:val="22"/>
          <w:lang w:val="es-ES" w:eastAsia="en-US"/>
        </w:rPr>
        <w:t>p</w:t>
      </w:r>
      <w:r w:rsidRPr="001D5B48">
        <w:rPr>
          <w:rFonts w:ascii="Tahoma" w:eastAsiaTheme="minorHAnsi" w:hAnsi="Tahoma" w:cs="Tahoma"/>
          <w:sz w:val="22"/>
          <w:szCs w:val="22"/>
          <w:lang w:val="es-ES" w:eastAsia="en-US"/>
        </w:rPr>
        <w:t>rovincial de la Consejería de Economía Empresas y Empleo</w:t>
      </w:r>
      <w:r w:rsidR="008C5010">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Enrique Jiménez Redondo</w:t>
      </w:r>
      <w:r w:rsidR="008C5010" w:rsidRPr="008C5010">
        <w:rPr>
          <w:rFonts w:ascii="Tahoma" w:eastAsiaTheme="minorHAnsi" w:hAnsi="Tahoma" w:cs="Tahoma"/>
          <w:sz w:val="22"/>
          <w:szCs w:val="22"/>
          <w:lang w:val="es-ES" w:eastAsia="en-US"/>
        </w:rPr>
        <w:t>, p</w:t>
      </w:r>
      <w:r w:rsidRPr="001D5B48">
        <w:rPr>
          <w:rFonts w:ascii="Tahoma" w:eastAsiaTheme="minorHAnsi" w:hAnsi="Tahoma" w:cs="Tahoma"/>
          <w:sz w:val="22"/>
          <w:szCs w:val="22"/>
          <w:lang w:val="es-ES" w:eastAsia="en-US"/>
        </w:rPr>
        <w:t>residente ATRALBA</w:t>
      </w:r>
      <w:r w:rsidR="008C5010" w:rsidRPr="008C5010">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y Paco Gómez Tornero </w:t>
      </w:r>
      <w:r w:rsidR="008C5010" w:rsidRPr="008C5010">
        <w:rPr>
          <w:rFonts w:ascii="Tahoma" w:eastAsiaTheme="minorHAnsi" w:hAnsi="Tahoma" w:cs="Tahoma"/>
          <w:sz w:val="22"/>
          <w:szCs w:val="22"/>
          <w:lang w:val="es-ES" w:eastAsia="en-US"/>
        </w:rPr>
        <w:t>s</w:t>
      </w:r>
      <w:r w:rsidRPr="001D5B48">
        <w:rPr>
          <w:rFonts w:ascii="Tahoma" w:eastAsiaTheme="minorHAnsi" w:hAnsi="Tahoma" w:cs="Tahoma"/>
          <w:sz w:val="22"/>
          <w:szCs w:val="22"/>
          <w:lang w:val="es-ES" w:eastAsia="en-US"/>
        </w:rPr>
        <w:t xml:space="preserve">ecretario general </w:t>
      </w:r>
      <w:r w:rsidR="008C5010" w:rsidRPr="008C5010">
        <w:rPr>
          <w:rFonts w:ascii="Tahoma" w:eastAsiaTheme="minorHAnsi" w:hAnsi="Tahoma" w:cs="Tahoma"/>
          <w:sz w:val="22"/>
          <w:szCs w:val="22"/>
          <w:lang w:val="es-ES" w:eastAsia="en-US"/>
        </w:rPr>
        <w:t xml:space="preserve">de </w:t>
      </w:r>
      <w:r w:rsidRPr="001D5B48">
        <w:rPr>
          <w:rFonts w:ascii="Tahoma" w:eastAsiaTheme="minorHAnsi" w:hAnsi="Tahoma" w:cs="Tahoma"/>
          <w:sz w:val="22"/>
          <w:szCs w:val="22"/>
          <w:lang w:val="es-ES" w:eastAsia="en-US"/>
        </w:rPr>
        <w:t>CCOO</w:t>
      </w:r>
      <w:r w:rsidR="008C5010">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quienes han coincidido en la importancia de la prevención y concienciación de estas patologías no traumáticas</w:t>
      </w:r>
      <w:r w:rsidR="008C5010">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ya que infartos e ictus representan el 42'5% de los accidentes de trabajo mortales en jornada diaria siendo la incidencia de accidentes de trabajo en el transporte terrestre de 28,1 casos por cada 100.000 trabajadores, suponiendo casi cinco veces la media de otros sectores. Esto subraya la necesidad de implementar medidas preventivas y estrategias de concienciación en el sector</w:t>
      </w:r>
      <w:r w:rsidRPr="001D5B48">
        <w:rPr>
          <w:rFonts w:ascii="Tahoma" w:eastAsiaTheme="minorHAnsi" w:hAnsi="Tahoma" w:cs="Tahoma"/>
          <w:szCs w:val="24"/>
          <w:lang w:val="es-ES" w:eastAsia="en-US"/>
        </w:rPr>
        <w:t>.</w:t>
      </w:r>
    </w:p>
    <w:p w14:paraId="546F4B41" w14:textId="40E9623D" w:rsidR="001D5B48" w:rsidRPr="001D5B48" w:rsidRDefault="001D5B48" w:rsidP="001D5B48">
      <w:pPr>
        <w:spacing w:after="160" w:line="259" w:lineRule="auto"/>
        <w:rPr>
          <w:rFonts w:ascii="Tahoma" w:eastAsiaTheme="minorHAnsi" w:hAnsi="Tahoma" w:cs="Tahoma"/>
          <w:sz w:val="22"/>
          <w:szCs w:val="22"/>
          <w:lang w:val="es-ES" w:eastAsia="en-US"/>
        </w:rPr>
      </w:pPr>
      <w:r w:rsidRPr="001D5B48">
        <w:rPr>
          <w:rFonts w:ascii="Tahoma" w:eastAsiaTheme="minorHAnsi" w:hAnsi="Tahoma" w:cs="Tahoma"/>
          <w:sz w:val="22"/>
          <w:szCs w:val="22"/>
          <w:lang w:val="es-ES" w:eastAsia="en-US"/>
        </w:rPr>
        <w:t>En cuanto a las exposiciones,  han sido desarrolladas por dos empresas del sector y asociadas directamente a ATRALBA</w:t>
      </w:r>
      <w:r w:rsidR="008C5010">
        <w:rPr>
          <w:rFonts w:ascii="Tahoma" w:eastAsiaTheme="minorHAnsi" w:hAnsi="Tahoma" w:cs="Tahoma"/>
          <w:sz w:val="22"/>
          <w:szCs w:val="22"/>
          <w:lang w:val="es-ES" w:eastAsia="en-US"/>
        </w:rPr>
        <w:t xml:space="preserve">. </w:t>
      </w:r>
      <w:r w:rsidRPr="001D5B48">
        <w:rPr>
          <w:rFonts w:ascii="Tahoma" w:eastAsiaTheme="minorHAnsi" w:hAnsi="Tahoma" w:cs="Tahoma"/>
          <w:bCs/>
          <w:sz w:val="22"/>
          <w:szCs w:val="22"/>
          <w:lang w:val="es-ES" w:eastAsia="en-US"/>
        </w:rPr>
        <w:t>Sara Aguilar Córcoles</w:t>
      </w:r>
      <w:r w:rsidR="008C5010" w:rsidRPr="008C5010">
        <w:rPr>
          <w:rFonts w:ascii="Tahoma" w:eastAsiaTheme="minorHAnsi" w:hAnsi="Tahoma" w:cs="Tahoma"/>
          <w:bCs/>
          <w:sz w:val="22"/>
          <w:szCs w:val="22"/>
          <w:lang w:val="es-ES" w:eastAsia="en-US"/>
        </w:rPr>
        <w:t>,</w:t>
      </w:r>
      <w:r w:rsidRPr="001D5B48">
        <w:rPr>
          <w:rFonts w:ascii="Tahoma" w:eastAsiaTheme="minorHAnsi" w:hAnsi="Tahoma" w:cs="Tahoma"/>
          <w:bCs/>
          <w:sz w:val="22"/>
          <w:szCs w:val="22"/>
          <w:lang w:val="es-ES" w:eastAsia="en-US"/>
        </w:rPr>
        <w:t xml:space="preserve"> gerente de Log</w:t>
      </w:r>
      <w:r w:rsidR="008C5010" w:rsidRPr="008C5010">
        <w:rPr>
          <w:rFonts w:ascii="Tahoma" w:eastAsiaTheme="minorHAnsi" w:hAnsi="Tahoma" w:cs="Tahoma"/>
          <w:bCs/>
          <w:sz w:val="22"/>
          <w:szCs w:val="22"/>
          <w:lang w:val="es-ES" w:eastAsia="en-US"/>
        </w:rPr>
        <w:t>í</w:t>
      </w:r>
      <w:r w:rsidRPr="001D5B48">
        <w:rPr>
          <w:rFonts w:ascii="Tahoma" w:eastAsiaTheme="minorHAnsi" w:hAnsi="Tahoma" w:cs="Tahoma"/>
          <w:bCs/>
          <w:sz w:val="22"/>
          <w:szCs w:val="22"/>
          <w:lang w:val="es-ES" w:eastAsia="en-US"/>
        </w:rPr>
        <w:t>stica Albaresa</w:t>
      </w:r>
      <w:r w:rsidR="008C5010" w:rsidRPr="008C5010">
        <w:rPr>
          <w:rFonts w:ascii="Tahoma" w:eastAsiaTheme="minorHAnsi" w:hAnsi="Tahoma" w:cs="Tahoma"/>
          <w:bCs/>
          <w:sz w:val="22"/>
          <w:szCs w:val="22"/>
          <w:lang w:val="es-ES" w:eastAsia="en-US"/>
        </w:rPr>
        <w:t>,</w:t>
      </w:r>
      <w:r w:rsidRPr="001D5B48">
        <w:rPr>
          <w:rFonts w:ascii="Tahoma" w:eastAsiaTheme="minorHAnsi" w:hAnsi="Tahoma" w:cs="Tahoma"/>
          <w:bCs/>
          <w:sz w:val="22"/>
          <w:szCs w:val="22"/>
          <w:lang w:val="es-ES" w:eastAsia="en-US"/>
        </w:rPr>
        <w:t xml:space="preserve"> e Ignacio Arnau</w:t>
      </w:r>
      <w:r w:rsidR="008C5010" w:rsidRPr="008C5010">
        <w:rPr>
          <w:rFonts w:ascii="Tahoma" w:eastAsiaTheme="minorHAnsi" w:hAnsi="Tahoma" w:cs="Tahoma"/>
          <w:bCs/>
          <w:sz w:val="22"/>
          <w:szCs w:val="22"/>
          <w:lang w:val="es-ES" w:eastAsia="en-US"/>
        </w:rPr>
        <w:t>,</w:t>
      </w:r>
      <w:r w:rsidRPr="001D5B48">
        <w:rPr>
          <w:rFonts w:ascii="Tahoma" w:eastAsiaTheme="minorHAnsi" w:hAnsi="Tahoma" w:cs="Tahoma"/>
          <w:bCs/>
          <w:sz w:val="22"/>
          <w:szCs w:val="22"/>
          <w:lang w:val="es-ES" w:eastAsia="en-US"/>
        </w:rPr>
        <w:t xml:space="preserve"> responsable de Segu</w:t>
      </w:r>
      <w:r w:rsidRPr="001D5B48">
        <w:rPr>
          <w:rFonts w:ascii="Tahoma" w:eastAsiaTheme="minorHAnsi" w:hAnsi="Tahoma" w:cs="Tahoma"/>
          <w:sz w:val="22"/>
          <w:szCs w:val="22"/>
          <w:lang w:val="es-ES" w:eastAsia="en-US"/>
        </w:rPr>
        <w:t>ridad, Salud, Medio Ambiente y Calidad dentro del grupo Pañalón.</w:t>
      </w:r>
    </w:p>
    <w:p w14:paraId="3222F8C1" w14:textId="77777777" w:rsidR="00303D13" w:rsidRDefault="001D5B48" w:rsidP="001D5B48">
      <w:pPr>
        <w:spacing w:after="160" w:line="259" w:lineRule="auto"/>
        <w:rPr>
          <w:rFonts w:ascii="Tahoma" w:eastAsiaTheme="minorHAnsi" w:hAnsi="Tahoma" w:cs="Tahoma"/>
          <w:sz w:val="22"/>
          <w:szCs w:val="22"/>
          <w:lang w:val="es-ES" w:eastAsia="en-US"/>
        </w:rPr>
      </w:pPr>
      <w:r w:rsidRPr="001D5B48">
        <w:rPr>
          <w:rFonts w:ascii="Tahoma" w:eastAsiaTheme="minorHAnsi" w:hAnsi="Tahoma" w:cs="Tahoma"/>
          <w:sz w:val="22"/>
          <w:szCs w:val="22"/>
          <w:lang w:val="es-ES" w:eastAsia="en-US"/>
        </w:rPr>
        <w:t>Ambas empresas han contado su experiencia y han puesto en valor la importancia de fomentar los hábitos saludables entre sus trabajadores con la intención de evitar estas enfermedades e incluso a través de la implantación de medidas preventivas</w:t>
      </w:r>
      <w:r w:rsidR="008C5010">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w:t>
      </w:r>
    </w:p>
    <w:p w14:paraId="5F5A3727" w14:textId="77777777" w:rsidR="00303D13" w:rsidRDefault="00303D13" w:rsidP="001D5B48">
      <w:pPr>
        <w:spacing w:after="160" w:line="259" w:lineRule="auto"/>
        <w:rPr>
          <w:rFonts w:ascii="Tahoma" w:eastAsiaTheme="minorHAnsi" w:hAnsi="Tahoma" w:cs="Tahoma"/>
          <w:sz w:val="22"/>
          <w:szCs w:val="22"/>
          <w:lang w:val="es-ES" w:eastAsia="en-US"/>
        </w:rPr>
      </w:pPr>
    </w:p>
    <w:p w14:paraId="3B0713A2" w14:textId="77777777" w:rsidR="00303D13" w:rsidRDefault="00303D13" w:rsidP="001D5B48">
      <w:pPr>
        <w:spacing w:after="160" w:line="259" w:lineRule="auto"/>
        <w:rPr>
          <w:rFonts w:ascii="Tahoma" w:eastAsiaTheme="minorHAnsi" w:hAnsi="Tahoma" w:cs="Tahoma"/>
          <w:sz w:val="22"/>
          <w:szCs w:val="22"/>
          <w:lang w:val="es-ES" w:eastAsia="en-US"/>
        </w:rPr>
      </w:pPr>
    </w:p>
    <w:p w14:paraId="106DAA93" w14:textId="638D3E96" w:rsidR="008C5010" w:rsidRDefault="001D5B48" w:rsidP="001D5B48">
      <w:pPr>
        <w:spacing w:after="160" w:line="259" w:lineRule="auto"/>
        <w:rPr>
          <w:rFonts w:ascii="Tahoma" w:eastAsiaTheme="minorHAnsi" w:hAnsi="Tahoma" w:cs="Tahoma"/>
          <w:sz w:val="22"/>
          <w:szCs w:val="22"/>
          <w:lang w:val="es-ES" w:eastAsia="en-US"/>
        </w:rPr>
      </w:pPr>
      <w:r w:rsidRPr="001D5B48">
        <w:rPr>
          <w:rFonts w:ascii="Tahoma" w:eastAsiaTheme="minorHAnsi" w:hAnsi="Tahoma" w:cs="Tahoma"/>
          <w:bCs/>
          <w:sz w:val="22"/>
          <w:szCs w:val="22"/>
          <w:lang w:val="es-ES" w:eastAsia="en-US"/>
        </w:rPr>
        <w:t>Log</w:t>
      </w:r>
      <w:r w:rsidR="008C5010" w:rsidRPr="008C5010">
        <w:rPr>
          <w:rFonts w:ascii="Tahoma" w:eastAsiaTheme="minorHAnsi" w:hAnsi="Tahoma" w:cs="Tahoma"/>
          <w:bCs/>
          <w:sz w:val="22"/>
          <w:szCs w:val="22"/>
          <w:lang w:val="es-ES" w:eastAsia="en-US"/>
        </w:rPr>
        <w:t>í</w:t>
      </w:r>
      <w:r w:rsidRPr="001D5B48">
        <w:rPr>
          <w:rFonts w:ascii="Tahoma" w:eastAsiaTheme="minorHAnsi" w:hAnsi="Tahoma" w:cs="Tahoma"/>
          <w:bCs/>
          <w:sz w:val="22"/>
          <w:szCs w:val="22"/>
          <w:lang w:val="es-ES" w:eastAsia="en-US"/>
        </w:rPr>
        <w:t>stica Albaresa</w:t>
      </w:r>
      <w:r w:rsidRPr="001D5B48">
        <w:rPr>
          <w:rFonts w:ascii="Tahoma" w:eastAsiaTheme="minorHAnsi" w:hAnsi="Tahoma" w:cs="Tahoma"/>
          <w:sz w:val="22"/>
          <w:szCs w:val="22"/>
          <w:lang w:val="es-ES" w:eastAsia="en-US"/>
        </w:rPr>
        <w:t xml:space="preserve"> ha regalado a sus trabajadores un test epigenético que detecta el estado de salud en el que se encuentra cada uno de ellos pudiendo incorporar medidas preventivas para cada trabajador de manera que se puedan evitar esas enfermedades en alguna medida. </w:t>
      </w:r>
      <w:r w:rsidR="00303D13">
        <w:rPr>
          <w:rFonts w:ascii="Tahoma" w:eastAsiaTheme="minorHAnsi" w:hAnsi="Tahoma" w:cs="Tahoma"/>
          <w:sz w:val="22"/>
          <w:szCs w:val="22"/>
          <w:lang w:val="es-ES" w:eastAsia="en-US"/>
        </w:rPr>
        <w:t xml:space="preserve">Mientras que </w:t>
      </w:r>
      <w:r w:rsidRPr="001D5B48">
        <w:rPr>
          <w:rFonts w:ascii="Tahoma" w:eastAsiaTheme="minorHAnsi" w:hAnsi="Tahoma" w:cs="Tahoma"/>
          <w:bCs/>
          <w:sz w:val="22"/>
          <w:szCs w:val="22"/>
          <w:lang w:val="es-ES" w:eastAsia="en-US"/>
        </w:rPr>
        <w:t>Pañalón</w:t>
      </w:r>
      <w:r w:rsidRPr="001D5B48">
        <w:rPr>
          <w:rFonts w:ascii="Tahoma" w:eastAsiaTheme="minorHAnsi" w:hAnsi="Tahoma" w:cs="Tahoma"/>
          <w:sz w:val="22"/>
          <w:szCs w:val="22"/>
          <w:lang w:val="es-ES" w:eastAsia="en-US"/>
        </w:rPr>
        <w:t xml:space="preserve"> ha compartido la existencia de  un manual de conductor donde viene contenido todos los hábitos saludables como un sistema de concienciación al trabajador. </w:t>
      </w:r>
    </w:p>
    <w:p w14:paraId="6A7CC4BE" w14:textId="6F3F901A" w:rsidR="00303D13" w:rsidRDefault="00303D13" w:rsidP="001D5B48">
      <w:pPr>
        <w:spacing w:after="160" w:line="259" w:lineRule="auto"/>
        <w:rPr>
          <w:rFonts w:ascii="Tahoma" w:eastAsiaTheme="minorHAnsi" w:hAnsi="Tahoma" w:cs="Tahoma"/>
          <w:sz w:val="22"/>
          <w:szCs w:val="22"/>
          <w:lang w:val="es-ES" w:eastAsia="en-US"/>
        </w:rPr>
      </w:pPr>
      <w:r w:rsidRPr="00303D13">
        <w:rPr>
          <w:rFonts w:ascii="Tahoma" w:eastAsiaTheme="minorHAnsi" w:hAnsi="Tahoma" w:cs="Tahoma"/>
          <w:b/>
          <w:bCs/>
          <w:sz w:val="22"/>
          <w:szCs w:val="22"/>
          <w:lang w:val="es-ES" w:eastAsia="en-US"/>
        </w:rPr>
        <w:t>Factores de riesgo</w:t>
      </w:r>
    </w:p>
    <w:p w14:paraId="4CA6E789" w14:textId="5A359441" w:rsidR="001D5B48" w:rsidRPr="001D5B48" w:rsidRDefault="001D5B48" w:rsidP="001D5B48">
      <w:pPr>
        <w:spacing w:after="160" w:line="259" w:lineRule="auto"/>
        <w:rPr>
          <w:rFonts w:ascii="Tahoma" w:eastAsiaTheme="minorHAnsi" w:hAnsi="Tahoma" w:cs="Tahoma"/>
          <w:sz w:val="22"/>
          <w:szCs w:val="22"/>
          <w:lang w:val="es-ES" w:eastAsia="en-US"/>
        </w:rPr>
      </w:pPr>
      <w:r w:rsidRPr="001D5B48">
        <w:rPr>
          <w:rFonts w:ascii="Tahoma" w:eastAsiaTheme="minorHAnsi" w:hAnsi="Tahoma" w:cs="Tahoma"/>
          <w:sz w:val="22"/>
          <w:szCs w:val="22"/>
          <w:lang w:val="es-ES" w:eastAsia="en-US"/>
        </w:rPr>
        <w:t xml:space="preserve">En esta parte también ha intervenido </w:t>
      </w:r>
      <w:r w:rsidRPr="001D5B48">
        <w:rPr>
          <w:rFonts w:ascii="Tahoma" w:eastAsiaTheme="minorHAnsi" w:hAnsi="Tahoma" w:cs="Tahoma"/>
          <w:bCs/>
          <w:sz w:val="22"/>
          <w:szCs w:val="22"/>
          <w:lang w:val="es-ES" w:eastAsia="en-US"/>
        </w:rPr>
        <w:t>Nieves Díaz</w:t>
      </w:r>
      <w:r w:rsidR="008C5010">
        <w:rPr>
          <w:rFonts w:ascii="Tahoma" w:eastAsiaTheme="minorHAnsi" w:hAnsi="Tahoma" w:cs="Tahoma"/>
          <w:bCs/>
          <w:sz w:val="22"/>
          <w:szCs w:val="22"/>
          <w:lang w:val="es-ES" w:eastAsia="en-US"/>
        </w:rPr>
        <w:t>, s</w:t>
      </w:r>
      <w:r w:rsidRPr="001D5B48">
        <w:rPr>
          <w:rFonts w:ascii="Tahoma" w:eastAsiaTheme="minorHAnsi" w:hAnsi="Tahoma" w:cs="Tahoma"/>
          <w:sz w:val="22"/>
          <w:szCs w:val="22"/>
          <w:lang w:val="es-ES" w:eastAsia="en-US"/>
        </w:rPr>
        <w:t xml:space="preserve">ecretaria </w:t>
      </w:r>
      <w:r w:rsidR="008C5010">
        <w:rPr>
          <w:rFonts w:ascii="Tahoma" w:eastAsiaTheme="minorHAnsi" w:hAnsi="Tahoma" w:cs="Tahoma"/>
          <w:sz w:val="22"/>
          <w:szCs w:val="22"/>
          <w:lang w:val="es-ES" w:eastAsia="en-US"/>
        </w:rPr>
        <w:t xml:space="preserve">de </w:t>
      </w:r>
      <w:r w:rsidRPr="001D5B48">
        <w:rPr>
          <w:rFonts w:ascii="Tahoma" w:eastAsiaTheme="minorHAnsi" w:hAnsi="Tahoma" w:cs="Tahoma"/>
          <w:sz w:val="22"/>
          <w:szCs w:val="22"/>
          <w:lang w:val="es-ES" w:eastAsia="en-US"/>
        </w:rPr>
        <w:t xml:space="preserve">Salud Laboral </w:t>
      </w:r>
      <w:r w:rsidR="008C5010">
        <w:rPr>
          <w:rFonts w:ascii="Tahoma" w:eastAsiaTheme="minorHAnsi" w:hAnsi="Tahoma" w:cs="Tahoma"/>
          <w:sz w:val="22"/>
          <w:szCs w:val="22"/>
          <w:lang w:val="es-ES" w:eastAsia="en-US"/>
        </w:rPr>
        <w:t xml:space="preserve">de </w:t>
      </w:r>
      <w:r w:rsidRPr="001D5B48">
        <w:rPr>
          <w:rFonts w:ascii="Tahoma" w:eastAsiaTheme="minorHAnsi" w:hAnsi="Tahoma" w:cs="Tahoma"/>
          <w:sz w:val="22"/>
          <w:szCs w:val="22"/>
          <w:lang w:val="es-ES" w:eastAsia="en-US"/>
        </w:rPr>
        <w:t>CCOO quien ha apoyado también y ha celebrado la práctica de estas medidas en las empresas como una forma de detectar sintomatología, solicitar auxilio antes de la apariencia de síntomas y en definitiva instaurar esa cultura de prevención incrementando los reconocimientos médicos a los trabajadores.</w:t>
      </w:r>
    </w:p>
    <w:p w14:paraId="3A0D5454" w14:textId="04375630" w:rsidR="001D5B48" w:rsidRPr="001D5B48" w:rsidRDefault="001D5B48" w:rsidP="001D5B48">
      <w:pPr>
        <w:spacing w:after="160" w:line="259" w:lineRule="auto"/>
        <w:rPr>
          <w:rFonts w:ascii="Tahoma" w:eastAsiaTheme="minorHAnsi" w:hAnsi="Tahoma" w:cs="Tahoma"/>
          <w:sz w:val="22"/>
          <w:szCs w:val="22"/>
          <w:lang w:val="es-ES" w:eastAsia="en-US"/>
        </w:rPr>
      </w:pPr>
      <w:r w:rsidRPr="001D5B48">
        <w:rPr>
          <w:rFonts w:ascii="Tahoma" w:eastAsiaTheme="minorHAnsi" w:hAnsi="Tahoma" w:cs="Tahoma"/>
          <w:sz w:val="22"/>
          <w:szCs w:val="22"/>
          <w:lang w:val="es-ES" w:eastAsia="en-US"/>
        </w:rPr>
        <w:t>Finalmente</w:t>
      </w:r>
      <w:r w:rsidR="008C5010">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ha cerrado esta </w:t>
      </w:r>
      <w:r w:rsidR="008C5010">
        <w:rPr>
          <w:rFonts w:ascii="Tahoma" w:eastAsiaTheme="minorHAnsi" w:hAnsi="Tahoma" w:cs="Tahoma"/>
          <w:sz w:val="22"/>
          <w:szCs w:val="22"/>
          <w:lang w:val="es-ES" w:eastAsia="en-US"/>
        </w:rPr>
        <w:t>j</w:t>
      </w:r>
      <w:r w:rsidRPr="001D5B48">
        <w:rPr>
          <w:rFonts w:ascii="Tahoma" w:eastAsiaTheme="minorHAnsi" w:hAnsi="Tahoma" w:cs="Tahoma"/>
          <w:sz w:val="22"/>
          <w:szCs w:val="22"/>
          <w:lang w:val="es-ES" w:eastAsia="en-US"/>
        </w:rPr>
        <w:t>ornada la intervención de Isidro de la Cruz</w:t>
      </w:r>
      <w:r w:rsidR="008C5010">
        <w:rPr>
          <w:rFonts w:ascii="Tahoma" w:eastAsiaTheme="minorHAnsi" w:hAnsi="Tahoma" w:cs="Tahoma"/>
          <w:sz w:val="22"/>
          <w:szCs w:val="22"/>
          <w:lang w:val="es-ES" w:eastAsia="en-US"/>
        </w:rPr>
        <w:t xml:space="preserve">, </w:t>
      </w:r>
      <w:r w:rsidR="008C5010">
        <w:rPr>
          <w:rFonts w:ascii="Open Sans" w:hAnsi="Open Sans" w:cs="Open Sans"/>
          <w:color w:val="666666"/>
          <w:sz w:val="20"/>
          <w:shd w:val="clear" w:color="auto" w:fill="FFFFFF"/>
        </w:rPr>
        <w:t> </w:t>
      </w:r>
      <w:r w:rsidR="008C5010">
        <w:rPr>
          <w:rFonts w:ascii="Tahoma" w:hAnsi="Tahoma" w:cs="Tahoma"/>
          <w:sz w:val="22"/>
          <w:szCs w:val="22"/>
          <w:shd w:val="clear" w:color="auto" w:fill="FFFFFF"/>
        </w:rPr>
        <w:t>m</w:t>
      </w:r>
      <w:r w:rsidR="008C5010" w:rsidRPr="008C5010">
        <w:rPr>
          <w:rFonts w:ascii="Tahoma" w:hAnsi="Tahoma" w:cs="Tahoma"/>
          <w:sz w:val="22"/>
          <w:szCs w:val="22"/>
          <w:shd w:val="clear" w:color="auto" w:fill="FFFFFF"/>
        </w:rPr>
        <w:t>édico del Trabajo</w:t>
      </w:r>
      <w:r w:rsidR="00303D13">
        <w:rPr>
          <w:rFonts w:ascii="Tahoma" w:hAnsi="Tahoma" w:cs="Tahoma"/>
          <w:sz w:val="22"/>
          <w:szCs w:val="22"/>
          <w:shd w:val="clear" w:color="auto" w:fill="FFFFFF"/>
        </w:rPr>
        <w:t xml:space="preserve">, hablando de la </w:t>
      </w:r>
      <w:r w:rsidR="008C5010" w:rsidRPr="008C5010">
        <w:rPr>
          <w:rFonts w:ascii="Tahoma" w:hAnsi="Tahoma" w:cs="Tahoma"/>
          <w:sz w:val="22"/>
          <w:szCs w:val="22"/>
          <w:shd w:val="clear" w:color="auto" w:fill="FFFFFF"/>
        </w:rPr>
        <w:t>“Prevención de factores de riesgo cardiovascular”.</w:t>
      </w:r>
      <w:r w:rsidRPr="001D5B48">
        <w:rPr>
          <w:rFonts w:ascii="Tahoma" w:eastAsiaTheme="minorHAnsi" w:hAnsi="Tahoma" w:cs="Tahoma"/>
          <w:sz w:val="22"/>
          <w:szCs w:val="22"/>
          <w:lang w:val="es-ES" w:eastAsia="en-US"/>
        </w:rPr>
        <w:t xml:space="preserve"> </w:t>
      </w:r>
      <w:r w:rsidR="00303D13">
        <w:rPr>
          <w:rFonts w:ascii="Tahoma" w:eastAsiaTheme="minorHAnsi" w:hAnsi="Tahoma" w:cs="Tahoma"/>
          <w:sz w:val="22"/>
          <w:szCs w:val="22"/>
          <w:lang w:val="es-ES" w:eastAsia="en-US"/>
        </w:rPr>
        <w:t xml:space="preserve">Ha insistido </w:t>
      </w:r>
      <w:r w:rsidRPr="001D5B48">
        <w:rPr>
          <w:rFonts w:ascii="Tahoma" w:eastAsiaTheme="minorHAnsi" w:hAnsi="Tahoma" w:cs="Tahoma"/>
          <w:sz w:val="22"/>
          <w:szCs w:val="22"/>
          <w:lang w:val="es-ES" w:eastAsia="en-US"/>
        </w:rPr>
        <w:t xml:space="preserve">en que la atención médica inmediata es de vital importancia en casos de infarto de miocardio e ictus para aumentar las probabilidades de supervivencia y que no queden secuelas. Ha recordado los factores de riesgos existentes como trabajo a turnos, turnos irregulares, sedentarismo que incrementa el riesgo, control médico regular y llevar una alimentación saludable. </w:t>
      </w:r>
    </w:p>
    <w:p w14:paraId="2C68E106" w14:textId="6A63769D" w:rsidR="001D5B48" w:rsidRPr="001D5B48" w:rsidRDefault="001D5B48" w:rsidP="001D5B48">
      <w:pPr>
        <w:spacing w:after="160" w:line="259" w:lineRule="auto"/>
        <w:rPr>
          <w:rFonts w:ascii="Tahoma" w:eastAsiaTheme="minorHAnsi" w:hAnsi="Tahoma" w:cs="Tahoma"/>
          <w:sz w:val="22"/>
          <w:szCs w:val="22"/>
          <w:lang w:val="es-ES" w:eastAsia="en-US"/>
        </w:rPr>
      </w:pPr>
      <w:r w:rsidRPr="001D5B48">
        <w:rPr>
          <w:rFonts w:ascii="Tahoma" w:eastAsiaTheme="minorHAnsi" w:hAnsi="Tahoma" w:cs="Tahoma"/>
          <w:sz w:val="22"/>
          <w:szCs w:val="22"/>
          <w:lang w:val="es-ES" w:eastAsia="en-US"/>
        </w:rPr>
        <w:t xml:space="preserve">En la </w:t>
      </w:r>
      <w:r w:rsidR="00303D13">
        <w:rPr>
          <w:rFonts w:ascii="Tahoma" w:eastAsiaTheme="minorHAnsi" w:hAnsi="Tahoma" w:cs="Tahoma"/>
          <w:sz w:val="22"/>
          <w:szCs w:val="22"/>
          <w:lang w:val="es-ES" w:eastAsia="en-US"/>
        </w:rPr>
        <w:t>c</w:t>
      </w:r>
      <w:r w:rsidRPr="001D5B48">
        <w:rPr>
          <w:rFonts w:ascii="Tahoma" w:eastAsiaTheme="minorHAnsi" w:hAnsi="Tahoma" w:cs="Tahoma"/>
          <w:sz w:val="22"/>
          <w:szCs w:val="22"/>
          <w:lang w:val="es-ES" w:eastAsia="en-US"/>
        </w:rPr>
        <w:t>lausura se ha valorado positivamente esta campaña por el impacto que ha tenido</w:t>
      </w:r>
      <w:r w:rsidR="00303D13">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 llegando a más de 200 empresas de profesionales del sector transporte entre mercancías y autobuses y a 4</w:t>
      </w:r>
      <w:r w:rsidR="00303D13">
        <w:rPr>
          <w:rFonts w:ascii="Tahoma" w:eastAsiaTheme="minorHAnsi" w:hAnsi="Tahoma" w:cs="Tahoma"/>
          <w:sz w:val="22"/>
          <w:szCs w:val="22"/>
          <w:lang w:val="es-ES" w:eastAsia="en-US"/>
        </w:rPr>
        <w:t>.</w:t>
      </w:r>
      <w:r w:rsidRPr="001D5B48">
        <w:rPr>
          <w:rFonts w:ascii="Tahoma" w:eastAsiaTheme="minorHAnsi" w:hAnsi="Tahoma" w:cs="Tahoma"/>
          <w:sz w:val="22"/>
          <w:szCs w:val="22"/>
          <w:lang w:val="es-ES" w:eastAsia="en-US"/>
        </w:rPr>
        <w:t xml:space="preserve">000 trabajadores reiterándose el ánimo de seguir luchando contra la reducción de estas enfermedades y quedando emplazados a la realización de actividades similares, sobre todo con el carácter tripartito que ha tenido esta campaña de trabajar en conjunto ATRALBA, </w:t>
      </w:r>
      <w:r w:rsidR="00303D13">
        <w:rPr>
          <w:rFonts w:ascii="Tahoma" w:eastAsiaTheme="minorHAnsi" w:hAnsi="Tahoma" w:cs="Tahoma"/>
          <w:sz w:val="22"/>
          <w:szCs w:val="22"/>
          <w:lang w:val="es-ES" w:eastAsia="en-US"/>
        </w:rPr>
        <w:t>G</w:t>
      </w:r>
      <w:r w:rsidRPr="001D5B48">
        <w:rPr>
          <w:rFonts w:ascii="Tahoma" w:eastAsiaTheme="minorHAnsi" w:hAnsi="Tahoma" w:cs="Tahoma"/>
          <w:sz w:val="22"/>
          <w:szCs w:val="22"/>
          <w:lang w:val="es-ES" w:eastAsia="en-US"/>
        </w:rPr>
        <w:t>obierno regional y CCOO.</w:t>
      </w:r>
    </w:p>
    <w:p w14:paraId="4E8D7A19" w14:textId="77777777" w:rsidR="001D5B48" w:rsidRPr="001D5B48" w:rsidRDefault="001D5B48" w:rsidP="001D5B48">
      <w:pPr>
        <w:spacing w:before="100" w:beforeAutospacing="1" w:after="100" w:afterAutospacing="1"/>
        <w:rPr>
          <w:rFonts w:ascii="Tahoma" w:hAnsi="Tahoma" w:cs="Tahoma"/>
          <w:sz w:val="22"/>
          <w:szCs w:val="22"/>
          <w:lang w:val="es-ES"/>
        </w:rPr>
      </w:pPr>
    </w:p>
    <w:p w14:paraId="2491DF89" w14:textId="77777777" w:rsidR="001D5B48" w:rsidRPr="001D5B48" w:rsidRDefault="001D5B48" w:rsidP="001D5B48">
      <w:pPr>
        <w:spacing w:after="160" w:line="259" w:lineRule="auto"/>
        <w:rPr>
          <w:rFonts w:ascii="Tahoma" w:eastAsiaTheme="minorHAnsi" w:hAnsi="Tahoma" w:cs="Tahoma"/>
          <w:sz w:val="22"/>
          <w:szCs w:val="22"/>
          <w:lang w:val="es-ES" w:eastAsia="en-US"/>
        </w:rPr>
      </w:pPr>
    </w:p>
    <w:p w14:paraId="0B394511" w14:textId="77777777" w:rsidR="001D5B48" w:rsidRPr="001D5B48" w:rsidRDefault="001D5B48" w:rsidP="001D5B48">
      <w:pPr>
        <w:spacing w:after="160" w:line="259" w:lineRule="auto"/>
        <w:rPr>
          <w:rFonts w:ascii="Tahoma" w:eastAsiaTheme="minorHAnsi" w:hAnsi="Tahoma" w:cs="Tahoma"/>
          <w:sz w:val="22"/>
          <w:szCs w:val="22"/>
          <w:lang w:val="es-ES" w:eastAsia="en-US"/>
        </w:rPr>
      </w:pPr>
    </w:p>
    <w:p w14:paraId="2F1B5CCB" w14:textId="77777777" w:rsidR="001D5B48" w:rsidRPr="001D5B48" w:rsidRDefault="001D5B48" w:rsidP="001D5B48">
      <w:pPr>
        <w:rPr>
          <w:rFonts w:ascii="Tahoma" w:eastAsiaTheme="minorHAnsi" w:hAnsi="Tahoma" w:cs="Tahoma"/>
          <w:sz w:val="22"/>
          <w:szCs w:val="22"/>
          <w:lang w:val="es-ES" w:eastAsia="en-US"/>
        </w:rPr>
      </w:pPr>
    </w:p>
    <w:p w14:paraId="47C39364" w14:textId="77777777" w:rsidR="001D5B48" w:rsidRPr="001D5B48" w:rsidRDefault="001D5B48" w:rsidP="001D5B48">
      <w:pPr>
        <w:spacing w:after="160" w:line="259" w:lineRule="auto"/>
        <w:rPr>
          <w:rFonts w:ascii="Tahoma" w:eastAsiaTheme="minorHAnsi" w:hAnsi="Tahoma" w:cs="Tahoma"/>
          <w:szCs w:val="24"/>
          <w:lang w:val="es-ES" w:eastAsia="en-US"/>
        </w:rPr>
      </w:pPr>
    </w:p>
    <w:p w14:paraId="34FA2D49" w14:textId="77777777" w:rsidR="001D5B48" w:rsidRPr="001D5B48" w:rsidRDefault="001D5B48" w:rsidP="001D5B48">
      <w:pPr>
        <w:rPr>
          <w:rFonts w:ascii="Tahoma" w:eastAsiaTheme="minorHAnsi" w:hAnsi="Tahoma" w:cs="Tahoma"/>
          <w:sz w:val="22"/>
          <w:szCs w:val="22"/>
          <w:lang w:val="es-ES" w:eastAsia="en-US"/>
        </w:rPr>
      </w:pPr>
    </w:p>
    <w:p w14:paraId="7CA807B5" w14:textId="77777777" w:rsidR="001D5B48" w:rsidRPr="001D5B48" w:rsidRDefault="001D5B48" w:rsidP="001D5B48">
      <w:pPr>
        <w:spacing w:after="160" w:line="259" w:lineRule="auto"/>
        <w:rPr>
          <w:rFonts w:ascii="Tahoma" w:eastAsiaTheme="minorHAnsi" w:hAnsi="Tahoma" w:cs="Tahoma"/>
          <w:sz w:val="22"/>
          <w:szCs w:val="22"/>
          <w:lang w:val="es-ES" w:eastAsia="en-US"/>
        </w:rPr>
      </w:pPr>
    </w:p>
    <w:p w14:paraId="553CA1D0" w14:textId="77777777" w:rsidR="001D5B48" w:rsidRPr="001D5B48" w:rsidRDefault="001D5B48" w:rsidP="001D5B48">
      <w:pPr>
        <w:spacing w:after="160" w:line="259" w:lineRule="auto"/>
        <w:rPr>
          <w:rFonts w:ascii="Tahoma" w:eastAsiaTheme="minorHAnsi" w:hAnsi="Tahoma" w:cs="Tahoma"/>
          <w:sz w:val="22"/>
          <w:szCs w:val="22"/>
          <w:lang w:val="es-ES" w:eastAsia="en-US"/>
        </w:rPr>
      </w:pPr>
    </w:p>
    <w:p w14:paraId="12189A88" w14:textId="77777777" w:rsidR="001D5B48" w:rsidRPr="001D5B48" w:rsidRDefault="001D5B48" w:rsidP="001D5B48">
      <w:pPr>
        <w:spacing w:after="160" w:line="259" w:lineRule="auto"/>
        <w:rPr>
          <w:rFonts w:ascii="Tahoma" w:eastAsiaTheme="minorHAnsi" w:hAnsi="Tahoma" w:cs="Tahoma"/>
          <w:sz w:val="22"/>
          <w:szCs w:val="22"/>
          <w:lang w:val="es-ES" w:eastAsia="en-US"/>
        </w:rPr>
      </w:pPr>
    </w:p>
    <w:p w14:paraId="57CF8BD1" w14:textId="77777777" w:rsidR="00311695" w:rsidRDefault="00311695" w:rsidP="00B06CB9">
      <w:pPr>
        <w:jc w:val="right"/>
        <w:rPr>
          <w:rFonts w:ascii="Tahoma" w:hAnsi="Tahoma" w:cs="Tahoma"/>
          <w:bCs/>
          <w:sz w:val="22"/>
          <w:szCs w:val="22"/>
        </w:rPr>
      </w:pPr>
    </w:p>
    <w:sectPr w:rsidR="00311695"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9"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9"/>
  </w:num>
  <w:num w:numId="7" w16cid:durableId="1843736111">
    <w:abstractNumId w:val="10"/>
  </w:num>
  <w:num w:numId="8" w16cid:durableId="40988650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00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5DE"/>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0FFB"/>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8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778-asociacion-de-transportes-de-mercancias-de-albace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4130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4836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3</cp:revision>
  <cp:lastPrinted>2024-11-15T09:28:00Z</cp:lastPrinted>
  <dcterms:created xsi:type="dcterms:W3CDTF">2025-07-10T09:12:00Z</dcterms:created>
  <dcterms:modified xsi:type="dcterms:W3CDTF">2025-07-10T09:34:00Z</dcterms:modified>
</cp:coreProperties>
</file>