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66A87" w14:textId="77777777" w:rsidR="00D170AA" w:rsidRDefault="00D170AA" w:rsidP="006426A1">
      <w:pPr>
        <w:tabs>
          <w:tab w:val="left" w:pos="2055"/>
          <w:tab w:val="left" w:pos="3180"/>
          <w:tab w:val="left" w:pos="3255"/>
        </w:tabs>
        <w:jc w:val="right"/>
        <w:rPr>
          <w:rFonts w:ascii="Tahoma" w:hAnsi="Tahoma" w:cs="Tahoma"/>
          <w:bCs/>
          <w:szCs w:val="24"/>
        </w:rPr>
      </w:pPr>
    </w:p>
    <w:p w14:paraId="21D169DA" w14:textId="77777777" w:rsidR="002E61F7" w:rsidRDefault="002E61F7" w:rsidP="004E77ED">
      <w:pPr>
        <w:jc w:val="right"/>
        <w:rPr>
          <w:rFonts w:ascii="Tahoma" w:hAnsi="Tahoma" w:cs="Tahoma"/>
          <w:color w:val="000000"/>
          <w:szCs w:val="24"/>
          <w:lang w:eastAsia="es-ES_tradnl"/>
        </w:rPr>
      </w:pPr>
    </w:p>
    <w:p w14:paraId="79D69B7F" w14:textId="77777777" w:rsidR="004E77ED" w:rsidRDefault="004938E6" w:rsidP="004E77ED">
      <w:pPr>
        <w:jc w:val="right"/>
        <w:rPr>
          <w:rFonts w:ascii="Tahoma" w:hAnsi="Tahoma" w:cs="Tahoma"/>
          <w:color w:val="000000"/>
          <w:sz w:val="22"/>
          <w:szCs w:val="22"/>
          <w:lang w:eastAsia="es-ES_tradnl"/>
        </w:rPr>
      </w:pPr>
      <w:r w:rsidRPr="002E61F7">
        <w:rPr>
          <w:rFonts w:ascii="Tahoma" w:hAnsi="Tahoma" w:cs="Tahoma"/>
          <w:color w:val="000000"/>
          <w:sz w:val="22"/>
          <w:szCs w:val="22"/>
          <w:lang w:eastAsia="es-ES_tradnl"/>
        </w:rPr>
        <w:t xml:space="preserve">Albacete, </w:t>
      </w:r>
      <w:r w:rsidR="009329E0">
        <w:rPr>
          <w:rFonts w:ascii="Tahoma" w:hAnsi="Tahoma" w:cs="Tahoma"/>
          <w:color w:val="000000"/>
          <w:sz w:val="22"/>
          <w:szCs w:val="22"/>
          <w:lang w:eastAsia="es-ES_tradnl"/>
        </w:rPr>
        <w:t>25 de noviembre</w:t>
      </w:r>
      <w:r w:rsidR="004E77ED" w:rsidRPr="002E61F7">
        <w:rPr>
          <w:rFonts w:ascii="Tahoma" w:hAnsi="Tahoma" w:cs="Tahoma"/>
          <w:color w:val="000000"/>
          <w:sz w:val="22"/>
          <w:szCs w:val="22"/>
          <w:lang w:eastAsia="es-ES_tradnl"/>
        </w:rPr>
        <w:t xml:space="preserve"> </w:t>
      </w:r>
      <w:r w:rsidR="00B21AC9" w:rsidRPr="002E61F7">
        <w:rPr>
          <w:rFonts w:ascii="Tahoma" w:hAnsi="Tahoma" w:cs="Tahoma"/>
          <w:color w:val="000000"/>
          <w:sz w:val="22"/>
          <w:szCs w:val="22"/>
          <w:lang w:eastAsia="es-ES_tradnl"/>
        </w:rPr>
        <w:t xml:space="preserve">de </w:t>
      </w:r>
      <w:r w:rsidR="00A314C4">
        <w:rPr>
          <w:rFonts w:ascii="Tahoma" w:hAnsi="Tahoma" w:cs="Tahoma"/>
          <w:color w:val="000000"/>
          <w:sz w:val="22"/>
          <w:szCs w:val="22"/>
          <w:lang w:eastAsia="es-ES_tradnl"/>
        </w:rPr>
        <w:t>2025</w:t>
      </w:r>
    </w:p>
    <w:p w14:paraId="5FCA2856" w14:textId="77777777" w:rsidR="0001399A" w:rsidRDefault="0001399A" w:rsidP="004E77ED">
      <w:pPr>
        <w:jc w:val="right"/>
        <w:rPr>
          <w:rFonts w:ascii="Tahoma" w:hAnsi="Tahoma" w:cs="Tahoma"/>
          <w:color w:val="000000"/>
          <w:sz w:val="22"/>
          <w:szCs w:val="22"/>
          <w:lang w:eastAsia="es-ES_tradnl"/>
        </w:rPr>
      </w:pPr>
    </w:p>
    <w:p w14:paraId="15CF84BD" w14:textId="77777777" w:rsidR="0001399A" w:rsidRDefault="0001399A" w:rsidP="0001399A">
      <w:pPr>
        <w:jc w:val="center"/>
        <w:rPr>
          <w:rFonts w:ascii="Tahoma" w:hAnsi="Tahoma" w:cs="Tahoma"/>
          <w:color w:val="000000"/>
          <w:sz w:val="22"/>
          <w:szCs w:val="22"/>
          <w:lang w:eastAsia="es-ES_tradnl"/>
        </w:rPr>
      </w:pPr>
    </w:p>
    <w:p w14:paraId="5E299941" w14:textId="77777777" w:rsidR="0001399A" w:rsidRDefault="0001399A" w:rsidP="004E77ED">
      <w:pPr>
        <w:jc w:val="right"/>
        <w:rPr>
          <w:rFonts w:ascii="Tahoma" w:hAnsi="Tahoma" w:cs="Tahoma"/>
          <w:color w:val="000000"/>
          <w:sz w:val="22"/>
          <w:szCs w:val="22"/>
          <w:lang w:eastAsia="es-ES_tradnl"/>
        </w:rPr>
      </w:pPr>
    </w:p>
    <w:p w14:paraId="1C072587" w14:textId="7B418130" w:rsidR="0001399A" w:rsidRDefault="0001399A" w:rsidP="0001399A">
      <w:pPr>
        <w:jc w:val="center"/>
        <w:rPr>
          <w:rFonts w:ascii="Tahoma" w:hAnsi="Tahoma" w:cs="Tahoma"/>
          <w:b/>
          <w:bCs/>
          <w:color w:val="000000"/>
          <w:sz w:val="32"/>
          <w:szCs w:val="32"/>
          <w:lang w:eastAsia="es-ES_tradnl"/>
        </w:rPr>
      </w:pPr>
      <w:r w:rsidRPr="0001399A">
        <w:rPr>
          <w:rFonts w:ascii="Tahoma" w:hAnsi="Tahoma" w:cs="Tahoma"/>
          <w:b/>
          <w:bCs/>
          <w:color w:val="000000"/>
          <w:sz w:val="32"/>
          <w:szCs w:val="32"/>
          <w:lang w:eastAsia="es-ES_tradnl"/>
        </w:rPr>
        <w:t>FEDA reitera que las empresas son espacios donde la igualdad y el respeto s</w:t>
      </w:r>
      <w:r w:rsidR="003612C5">
        <w:rPr>
          <w:rFonts w:ascii="Tahoma" w:hAnsi="Tahoma" w:cs="Tahoma"/>
          <w:b/>
          <w:bCs/>
          <w:color w:val="000000"/>
          <w:sz w:val="32"/>
          <w:szCs w:val="32"/>
          <w:lang w:eastAsia="es-ES_tradnl"/>
        </w:rPr>
        <w:t>on</w:t>
      </w:r>
      <w:r w:rsidRPr="0001399A">
        <w:rPr>
          <w:rFonts w:ascii="Tahoma" w:hAnsi="Tahoma" w:cs="Tahoma"/>
          <w:b/>
          <w:bCs/>
          <w:color w:val="000000"/>
          <w:sz w:val="32"/>
          <w:szCs w:val="32"/>
          <w:lang w:eastAsia="es-ES_tradnl"/>
        </w:rPr>
        <w:t xml:space="preserve"> valores reales y compartidos</w:t>
      </w:r>
    </w:p>
    <w:p w14:paraId="50347B2C" w14:textId="77777777" w:rsidR="0001399A" w:rsidRDefault="0001399A" w:rsidP="0001399A">
      <w:pPr>
        <w:jc w:val="center"/>
        <w:rPr>
          <w:rFonts w:ascii="Tahoma" w:hAnsi="Tahoma" w:cs="Tahoma"/>
          <w:b/>
          <w:bCs/>
          <w:color w:val="000000"/>
          <w:sz w:val="32"/>
          <w:szCs w:val="32"/>
          <w:lang w:eastAsia="es-ES_tradnl"/>
        </w:rPr>
      </w:pPr>
    </w:p>
    <w:p w14:paraId="51CC6766" w14:textId="7B015FDD" w:rsidR="0001399A" w:rsidRDefault="0001399A" w:rsidP="0001399A">
      <w:pPr>
        <w:pStyle w:val="Prrafodelista"/>
        <w:numPr>
          <w:ilvl w:val="0"/>
          <w:numId w:val="14"/>
        </w:numPr>
        <w:ind w:left="426" w:hanging="426"/>
        <w:jc w:val="center"/>
        <w:rPr>
          <w:rFonts w:ascii="Tahoma" w:hAnsi="Tahoma" w:cs="Tahoma"/>
          <w:b/>
          <w:bCs/>
          <w:color w:val="000000"/>
          <w:lang w:eastAsia="es-ES_tradnl"/>
        </w:rPr>
      </w:pPr>
      <w:r>
        <w:rPr>
          <w:rFonts w:ascii="Tahoma" w:hAnsi="Tahoma" w:cs="Tahoma"/>
          <w:b/>
          <w:bCs/>
          <w:color w:val="000000"/>
          <w:lang w:eastAsia="es-ES_tradnl"/>
        </w:rPr>
        <w:t>En el 25 N, Día Internacional de la Eliminación de la Violencia contra la Mujer</w:t>
      </w:r>
    </w:p>
    <w:p w14:paraId="4FA67B31" w14:textId="0442787E" w:rsidR="003612C5" w:rsidRPr="0001399A" w:rsidRDefault="003612C5" w:rsidP="003612C5">
      <w:pPr>
        <w:pStyle w:val="Prrafodelista"/>
        <w:numPr>
          <w:ilvl w:val="0"/>
          <w:numId w:val="14"/>
        </w:numPr>
        <w:spacing w:line="240" w:lineRule="auto"/>
        <w:ind w:left="426" w:hanging="426"/>
        <w:jc w:val="center"/>
        <w:rPr>
          <w:rFonts w:ascii="Tahoma" w:hAnsi="Tahoma" w:cs="Tahoma"/>
          <w:b/>
          <w:bCs/>
          <w:color w:val="000000"/>
          <w:lang w:eastAsia="es-ES_tradnl"/>
        </w:rPr>
      </w:pPr>
      <w:r>
        <w:rPr>
          <w:rFonts w:ascii="Tahoma" w:hAnsi="Tahoma" w:cs="Tahoma"/>
          <w:b/>
          <w:bCs/>
          <w:color w:val="000000"/>
          <w:lang w:eastAsia="es-ES_tradnl"/>
        </w:rPr>
        <w:t>Desde FEDA se resalta, en el 40 aniversario de la adhesión de España a la UE, los veinte años de la Ley de Medidas de Protección Integral contra la Violencia de Género</w:t>
      </w:r>
    </w:p>
    <w:p w14:paraId="0EBB899D" w14:textId="77777777" w:rsidR="00287899" w:rsidRDefault="00287899" w:rsidP="00763145">
      <w:pPr>
        <w:jc w:val="center"/>
        <w:rPr>
          <w:rFonts w:ascii="Tahoma" w:hAnsi="Tahoma" w:cs="Tahoma"/>
          <w:b/>
          <w:color w:val="000000"/>
          <w:sz w:val="32"/>
          <w:szCs w:val="32"/>
          <w:lang w:eastAsia="es-ES_tradnl"/>
        </w:rPr>
      </w:pPr>
    </w:p>
    <w:p w14:paraId="4B9B074E" w14:textId="77777777" w:rsidR="00287899" w:rsidRPr="00287899" w:rsidRDefault="00A314C4" w:rsidP="00A314C4">
      <w:pPr>
        <w:rPr>
          <w:rFonts w:ascii="Tahoma" w:eastAsiaTheme="majorEastAsia" w:hAnsi="Tahoma" w:cs="Tahoma"/>
          <w:bCs/>
          <w:sz w:val="22"/>
          <w:szCs w:val="22"/>
        </w:rPr>
      </w:pPr>
      <w:r w:rsidRPr="00287899">
        <w:rPr>
          <w:rFonts w:ascii="Tahoma" w:eastAsiaTheme="majorEastAsia" w:hAnsi="Tahoma" w:cs="Tahoma"/>
          <w:bCs/>
          <w:sz w:val="22"/>
          <w:szCs w:val="22"/>
        </w:rPr>
        <w:t xml:space="preserve">El 28 de diciembre de 2004, el Gobierno español aprobó la Ley Orgánica 1/2004, de </w:t>
      </w:r>
      <w:r w:rsidRPr="002E186B">
        <w:rPr>
          <w:rFonts w:ascii="Tahoma" w:eastAsiaTheme="majorEastAsia" w:hAnsi="Tahoma" w:cs="Tahoma"/>
          <w:b/>
          <w:bCs/>
          <w:sz w:val="22"/>
          <w:szCs w:val="22"/>
        </w:rPr>
        <w:t>Medidas de Protección Integral contra la Violencia de Género</w:t>
      </w:r>
      <w:r w:rsidRPr="00287899">
        <w:rPr>
          <w:rFonts w:ascii="Tahoma" w:eastAsiaTheme="majorEastAsia" w:hAnsi="Tahoma" w:cs="Tahoma"/>
          <w:bCs/>
          <w:sz w:val="22"/>
          <w:szCs w:val="22"/>
        </w:rPr>
        <w:t>. En 2024 se celebró el 2</w:t>
      </w:r>
      <w:r w:rsidR="00287899" w:rsidRPr="00287899">
        <w:rPr>
          <w:rFonts w:ascii="Tahoma" w:eastAsiaTheme="majorEastAsia" w:hAnsi="Tahoma" w:cs="Tahoma"/>
          <w:bCs/>
          <w:sz w:val="22"/>
          <w:szCs w:val="22"/>
        </w:rPr>
        <w:t xml:space="preserve">0 aniversario de este gran hito </w:t>
      </w:r>
      <w:r w:rsidRPr="00287899">
        <w:rPr>
          <w:rFonts w:ascii="Tahoma" w:eastAsiaTheme="majorEastAsia" w:hAnsi="Tahoma" w:cs="Tahoma"/>
          <w:bCs/>
          <w:sz w:val="22"/>
          <w:szCs w:val="22"/>
        </w:rPr>
        <w:t>que impulsó, de manera pionera</w:t>
      </w:r>
      <w:r w:rsidR="002E186B">
        <w:rPr>
          <w:rFonts w:ascii="Tahoma" w:eastAsiaTheme="majorEastAsia" w:hAnsi="Tahoma" w:cs="Tahoma"/>
          <w:bCs/>
          <w:sz w:val="22"/>
          <w:szCs w:val="22"/>
        </w:rPr>
        <w:t xml:space="preserve"> y desde España</w:t>
      </w:r>
      <w:r w:rsidRPr="00287899">
        <w:rPr>
          <w:rFonts w:ascii="Tahoma" w:eastAsiaTheme="majorEastAsia" w:hAnsi="Tahoma" w:cs="Tahoma"/>
          <w:bCs/>
          <w:sz w:val="22"/>
          <w:szCs w:val="22"/>
        </w:rPr>
        <w:t xml:space="preserve">, estrategias integrales de prevención y medidas jurídicas, asistenciales y de protección a las víctimas de violencia contra la mujer y violencia doméstica. Esta normativa puso el foco en el fenómeno de </w:t>
      </w:r>
      <w:r w:rsidR="002E186B">
        <w:rPr>
          <w:rFonts w:ascii="Tahoma" w:eastAsiaTheme="majorEastAsia" w:hAnsi="Tahoma" w:cs="Tahoma"/>
          <w:bCs/>
          <w:sz w:val="22"/>
          <w:szCs w:val="22"/>
        </w:rPr>
        <w:t xml:space="preserve">la violencia contra las mujeres </w:t>
      </w:r>
      <w:r w:rsidRPr="00287899">
        <w:rPr>
          <w:rFonts w:ascii="Tahoma" w:eastAsiaTheme="majorEastAsia" w:hAnsi="Tahoma" w:cs="Tahoma"/>
          <w:bCs/>
          <w:sz w:val="22"/>
          <w:szCs w:val="22"/>
        </w:rPr>
        <w:t xml:space="preserve">acuñando el término </w:t>
      </w:r>
      <w:r w:rsidRPr="00A14DF0">
        <w:rPr>
          <w:rFonts w:ascii="Tahoma" w:eastAsiaTheme="majorEastAsia" w:hAnsi="Tahoma" w:cs="Tahoma"/>
          <w:b/>
          <w:bCs/>
          <w:sz w:val="22"/>
          <w:szCs w:val="22"/>
        </w:rPr>
        <w:t>«violencia de género»</w:t>
      </w:r>
      <w:r w:rsidRPr="00287899">
        <w:rPr>
          <w:rFonts w:ascii="Tahoma" w:eastAsiaTheme="majorEastAsia" w:hAnsi="Tahoma" w:cs="Tahoma"/>
          <w:bCs/>
          <w:sz w:val="22"/>
          <w:szCs w:val="22"/>
        </w:rPr>
        <w:t xml:space="preserve"> y describiéndola como </w:t>
      </w:r>
      <w:r w:rsidRPr="00A14DF0">
        <w:rPr>
          <w:rFonts w:ascii="Tahoma" w:eastAsiaTheme="majorEastAsia" w:hAnsi="Tahoma" w:cs="Tahoma"/>
          <w:b/>
          <w:bCs/>
          <w:sz w:val="22"/>
          <w:szCs w:val="22"/>
        </w:rPr>
        <w:t>«el símbolo más brutal de la desigualdad».</w:t>
      </w:r>
      <w:r w:rsidRPr="00287899">
        <w:rPr>
          <w:rFonts w:ascii="Tahoma" w:eastAsiaTheme="majorEastAsia" w:hAnsi="Tahoma" w:cs="Tahoma"/>
          <w:bCs/>
          <w:sz w:val="22"/>
          <w:szCs w:val="22"/>
        </w:rPr>
        <w:t xml:space="preserve"> </w:t>
      </w:r>
    </w:p>
    <w:p w14:paraId="157408D1" w14:textId="77777777" w:rsidR="00287899" w:rsidRPr="00287899" w:rsidRDefault="00287899" w:rsidP="00A314C4">
      <w:pPr>
        <w:rPr>
          <w:rFonts w:ascii="Tahoma" w:eastAsiaTheme="majorEastAsia" w:hAnsi="Tahoma" w:cs="Tahoma"/>
          <w:bCs/>
          <w:sz w:val="22"/>
          <w:szCs w:val="22"/>
        </w:rPr>
      </w:pPr>
    </w:p>
    <w:p w14:paraId="1F82E65C" w14:textId="77777777" w:rsidR="00287899" w:rsidRPr="00761297" w:rsidRDefault="00287899" w:rsidP="00287899">
      <w:pPr>
        <w:rPr>
          <w:rFonts w:ascii="Tahoma" w:eastAsiaTheme="majorEastAsia" w:hAnsi="Tahoma" w:cs="Tahoma"/>
          <w:b/>
          <w:bCs/>
          <w:sz w:val="22"/>
          <w:szCs w:val="22"/>
        </w:rPr>
      </w:pPr>
      <w:r w:rsidRPr="00287899">
        <w:rPr>
          <w:rFonts w:ascii="Tahoma" w:eastAsiaTheme="majorEastAsia" w:hAnsi="Tahoma" w:cs="Tahoma"/>
          <w:bCs/>
          <w:sz w:val="22"/>
          <w:szCs w:val="22"/>
        </w:rPr>
        <w:t xml:space="preserve">En España, la Ley Integral ha sido una herramienta fundamental para la protección de las víctimas de la violencia contra la mujer. Sin embargo, atendiendo a los datos oficiales, es necesario </w:t>
      </w:r>
      <w:r w:rsidRPr="00761297">
        <w:rPr>
          <w:rFonts w:ascii="Tahoma" w:eastAsiaTheme="majorEastAsia" w:hAnsi="Tahoma" w:cs="Tahoma"/>
          <w:b/>
          <w:bCs/>
          <w:sz w:val="22"/>
          <w:szCs w:val="22"/>
        </w:rPr>
        <w:t>continuar implementando políticas públicas que promuevan la igualdad de género en todos los ámbitos de la vida, incluido el laboral, luchar contra los estereotipos de género que perpetúan la violencia contra las mujeres y la violencia doméstica y educar en valores de igualdad y respeto mutuo desde la infancia.</w:t>
      </w:r>
    </w:p>
    <w:p w14:paraId="7BCC263E" w14:textId="77777777" w:rsidR="00287899" w:rsidRPr="00287899" w:rsidRDefault="00287899" w:rsidP="00287899">
      <w:pPr>
        <w:rPr>
          <w:rFonts w:ascii="Tahoma" w:eastAsiaTheme="majorEastAsia" w:hAnsi="Tahoma" w:cs="Tahoma"/>
          <w:bCs/>
          <w:sz w:val="22"/>
          <w:szCs w:val="22"/>
        </w:rPr>
      </w:pPr>
    </w:p>
    <w:p w14:paraId="61E41C05" w14:textId="1D010F8D" w:rsidR="000F2334" w:rsidRDefault="00287899" w:rsidP="00287899">
      <w:pPr>
        <w:rPr>
          <w:rFonts w:ascii="Tahoma" w:eastAsiaTheme="majorEastAsia" w:hAnsi="Tahoma" w:cs="Tahoma"/>
          <w:bCs/>
          <w:sz w:val="22"/>
          <w:szCs w:val="22"/>
        </w:rPr>
      </w:pPr>
      <w:r w:rsidRPr="00287899">
        <w:rPr>
          <w:rFonts w:ascii="Tahoma" w:eastAsiaTheme="majorEastAsia" w:hAnsi="Tahoma" w:cs="Tahoma"/>
          <w:bCs/>
          <w:sz w:val="22"/>
          <w:szCs w:val="22"/>
        </w:rPr>
        <w:t xml:space="preserve">La Directiva y la consecuente reevaluación de los 20 años </w:t>
      </w:r>
      <w:r>
        <w:rPr>
          <w:rFonts w:ascii="Tahoma" w:eastAsiaTheme="majorEastAsia" w:hAnsi="Tahoma" w:cs="Tahoma"/>
          <w:bCs/>
          <w:sz w:val="22"/>
          <w:szCs w:val="22"/>
        </w:rPr>
        <w:t>de la experiencia española</w:t>
      </w:r>
      <w:r w:rsidR="00761297">
        <w:rPr>
          <w:rFonts w:ascii="Tahoma" w:eastAsiaTheme="majorEastAsia" w:hAnsi="Tahoma" w:cs="Tahoma"/>
          <w:bCs/>
          <w:sz w:val="22"/>
          <w:szCs w:val="22"/>
        </w:rPr>
        <w:t xml:space="preserve"> </w:t>
      </w:r>
      <w:r w:rsidRPr="00287899">
        <w:rPr>
          <w:rFonts w:ascii="Tahoma" w:eastAsiaTheme="majorEastAsia" w:hAnsi="Tahoma" w:cs="Tahoma"/>
          <w:bCs/>
          <w:sz w:val="22"/>
          <w:szCs w:val="22"/>
        </w:rPr>
        <w:t xml:space="preserve">permitirán no solo identificar los retos pendientes </w:t>
      </w:r>
      <w:r>
        <w:rPr>
          <w:rFonts w:ascii="Tahoma" w:eastAsiaTheme="majorEastAsia" w:hAnsi="Tahoma" w:cs="Tahoma"/>
          <w:bCs/>
          <w:sz w:val="22"/>
          <w:szCs w:val="22"/>
        </w:rPr>
        <w:t>en el país</w:t>
      </w:r>
      <w:r w:rsidRPr="00287899">
        <w:rPr>
          <w:rFonts w:ascii="Tahoma" w:eastAsiaTheme="majorEastAsia" w:hAnsi="Tahoma" w:cs="Tahoma"/>
          <w:bCs/>
          <w:sz w:val="22"/>
          <w:szCs w:val="22"/>
        </w:rPr>
        <w:t>, sino diseñar nuevas estrategias más efectivas en el resto de Europa, desde un enfoque de trabajo conjunto y comprometido de toda la Unión Europea.</w:t>
      </w:r>
    </w:p>
    <w:p w14:paraId="0713E3A1" w14:textId="77777777" w:rsidR="000F2334" w:rsidRDefault="000F2334" w:rsidP="00287899">
      <w:pPr>
        <w:rPr>
          <w:rFonts w:ascii="Tahoma" w:eastAsiaTheme="majorEastAsia" w:hAnsi="Tahoma" w:cs="Tahoma"/>
          <w:bCs/>
          <w:sz w:val="22"/>
          <w:szCs w:val="22"/>
        </w:rPr>
      </w:pPr>
    </w:p>
    <w:p w14:paraId="21105BFA" w14:textId="490C2E0C" w:rsidR="00470CA8" w:rsidRPr="00603EB4" w:rsidRDefault="000F2334" w:rsidP="00287899">
      <w:pPr>
        <w:rPr>
          <w:rFonts w:ascii="Tahoma" w:eastAsiaTheme="majorEastAsia" w:hAnsi="Tahoma" w:cs="Tahoma"/>
          <w:b/>
          <w:bCs/>
          <w:sz w:val="22"/>
          <w:szCs w:val="22"/>
        </w:rPr>
      </w:pPr>
      <w:bookmarkStart w:id="0" w:name="_Hlk214534219"/>
      <w:r>
        <w:rPr>
          <w:rFonts w:ascii="Tahoma" w:eastAsiaTheme="majorEastAsia" w:hAnsi="Tahoma" w:cs="Tahoma"/>
          <w:bCs/>
          <w:sz w:val="22"/>
          <w:szCs w:val="22"/>
        </w:rPr>
        <w:t xml:space="preserve">FEDA que destaca por su compromiso con </w:t>
      </w:r>
      <w:r w:rsidR="004E08C4">
        <w:rPr>
          <w:rFonts w:ascii="Tahoma" w:eastAsiaTheme="majorEastAsia" w:hAnsi="Tahoma" w:cs="Tahoma"/>
          <w:bCs/>
          <w:sz w:val="22"/>
          <w:szCs w:val="22"/>
        </w:rPr>
        <w:t xml:space="preserve">la </w:t>
      </w:r>
      <w:r>
        <w:rPr>
          <w:rFonts w:ascii="Tahoma" w:eastAsiaTheme="majorEastAsia" w:hAnsi="Tahoma" w:cs="Tahoma"/>
          <w:bCs/>
          <w:sz w:val="22"/>
          <w:szCs w:val="22"/>
        </w:rPr>
        <w:t>igualdad, reitera que e</w:t>
      </w:r>
      <w:r w:rsidRPr="000F2334">
        <w:rPr>
          <w:rFonts w:ascii="Tahoma" w:eastAsiaTheme="majorEastAsia" w:hAnsi="Tahoma" w:cs="Tahoma"/>
          <w:bCs/>
          <w:sz w:val="22"/>
          <w:szCs w:val="22"/>
        </w:rPr>
        <w:t xml:space="preserve">n el ámbito laboral, las empresas tienen una responsabilidad y una oportunidad: </w:t>
      </w:r>
      <w:r w:rsidRPr="00603EB4">
        <w:rPr>
          <w:rFonts w:ascii="Tahoma" w:eastAsiaTheme="majorEastAsia" w:hAnsi="Tahoma" w:cs="Tahoma"/>
          <w:b/>
          <w:bCs/>
          <w:sz w:val="22"/>
          <w:szCs w:val="22"/>
        </w:rPr>
        <w:t>convertirse en agentes activos de cambio, espacios donde la igualdad y el respeto sean valores reales y compartidos.</w:t>
      </w:r>
      <w:r w:rsidR="00A314C4" w:rsidRPr="00603EB4">
        <w:rPr>
          <w:rFonts w:ascii="Tahoma" w:eastAsiaTheme="majorEastAsia" w:hAnsi="Tahoma" w:cs="Tahoma"/>
          <w:b/>
          <w:bCs/>
          <w:sz w:val="22"/>
          <w:szCs w:val="22"/>
        </w:rPr>
        <w:t xml:space="preserve"> </w:t>
      </w:r>
    </w:p>
    <w:bookmarkEnd w:id="0"/>
    <w:p w14:paraId="0BA53A0D" w14:textId="77777777" w:rsidR="00470CA8" w:rsidRPr="00603EB4" w:rsidRDefault="00470CA8" w:rsidP="00287899">
      <w:pPr>
        <w:rPr>
          <w:rFonts w:ascii="Tahoma" w:eastAsiaTheme="majorEastAsia" w:hAnsi="Tahoma" w:cs="Tahoma"/>
          <w:b/>
          <w:bCs/>
          <w:sz w:val="22"/>
          <w:szCs w:val="22"/>
        </w:rPr>
      </w:pPr>
    </w:p>
    <w:p w14:paraId="5CB0A8FD" w14:textId="77777777" w:rsidR="002F038B" w:rsidRPr="00603EB4" w:rsidRDefault="00470CA8" w:rsidP="00287899">
      <w:pPr>
        <w:rPr>
          <w:rFonts w:ascii="Tahoma" w:eastAsiaTheme="majorEastAsia" w:hAnsi="Tahoma" w:cs="Tahoma"/>
          <w:b/>
          <w:bCs/>
          <w:sz w:val="22"/>
          <w:szCs w:val="22"/>
        </w:rPr>
      </w:pPr>
      <w:r w:rsidRPr="00603EB4">
        <w:rPr>
          <w:rFonts w:ascii="Tahoma" w:eastAsiaTheme="majorEastAsia" w:hAnsi="Tahoma" w:cs="Tahoma"/>
          <w:b/>
          <w:bCs/>
          <w:sz w:val="22"/>
          <w:szCs w:val="22"/>
        </w:rPr>
        <w:t>El 25N en el entorno empresarial además de ser una acción simbólica es el momento en el que se pone de manifiesto el impacto que tiene la cultura corporativa en la prevención de la violencia y en la construcción de entornos seguros, igualitarios y libres de discriminación.</w:t>
      </w:r>
    </w:p>
    <w:p w14:paraId="004FC875" w14:textId="77777777" w:rsidR="002F038B" w:rsidRDefault="002F038B" w:rsidP="00287899">
      <w:pPr>
        <w:rPr>
          <w:rFonts w:ascii="Tahoma" w:eastAsiaTheme="majorEastAsia" w:hAnsi="Tahoma" w:cs="Tahoma"/>
          <w:bCs/>
          <w:sz w:val="22"/>
          <w:szCs w:val="22"/>
        </w:rPr>
      </w:pPr>
    </w:p>
    <w:p w14:paraId="32F6116F" w14:textId="399CD1B4" w:rsidR="002F038B" w:rsidRDefault="002F038B" w:rsidP="002F038B">
      <w:pPr>
        <w:rPr>
          <w:rFonts w:ascii="Tahoma" w:eastAsiaTheme="majorEastAsia" w:hAnsi="Tahoma" w:cs="Tahoma"/>
          <w:sz w:val="22"/>
          <w:szCs w:val="22"/>
        </w:rPr>
      </w:pPr>
      <w:r>
        <w:rPr>
          <w:rFonts w:ascii="Tahoma" w:eastAsiaTheme="majorEastAsia" w:hAnsi="Tahoma" w:cs="Tahoma"/>
          <w:sz w:val="22"/>
          <w:szCs w:val="22"/>
        </w:rPr>
        <w:t>Desde FEDA</w:t>
      </w:r>
      <w:r w:rsidR="0001399A">
        <w:rPr>
          <w:rFonts w:ascii="Tahoma" w:eastAsiaTheme="majorEastAsia" w:hAnsi="Tahoma" w:cs="Tahoma"/>
          <w:sz w:val="22"/>
          <w:szCs w:val="22"/>
        </w:rPr>
        <w:t>,</w:t>
      </w:r>
      <w:r>
        <w:rPr>
          <w:rFonts w:ascii="Tahoma" w:eastAsiaTheme="majorEastAsia" w:hAnsi="Tahoma" w:cs="Tahoma"/>
          <w:sz w:val="22"/>
          <w:szCs w:val="22"/>
        </w:rPr>
        <w:t xml:space="preserve"> se reitera en cada una de sus acciones la</w:t>
      </w:r>
      <w:r w:rsidRPr="002F038B">
        <w:rPr>
          <w:rFonts w:ascii="Tahoma" w:eastAsiaTheme="majorEastAsia" w:hAnsi="Tahoma" w:cs="Tahoma"/>
          <w:sz w:val="22"/>
          <w:szCs w:val="22"/>
        </w:rPr>
        <w:t xml:space="preserve"> polít</w:t>
      </w:r>
      <w:r>
        <w:rPr>
          <w:rFonts w:ascii="Tahoma" w:eastAsiaTheme="majorEastAsia" w:hAnsi="Tahoma" w:cs="Tahoma"/>
          <w:sz w:val="22"/>
          <w:szCs w:val="22"/>
        </w:rPr>
        <w:t xml:space="preserve">ica de </w:t>
      </w:r>
      <w:r w:rsidRPr="00603EB4">
        <w:rPr>
          <w:rFonts w:ascii="Tahoma" w:eastAsiaTheme="majorEastAsia" w:hAnsi="Tahoma" w:cs="Tahoma"/>
          <w:b/>
          <w:sz w:val="22"/>
          <w:szCs w:val="22"/>
        </w:rPr>
        <w:t>tolerancia cero</w:t>
      </w:r>
      <w:r>
        <w:rPr>
          <w:rFonts w:ascii="Tahoma" w:eastAsiaTheme="majorEastAsia" w:hAnsi="Tahoma" w:cs="Tahoma"/>
          <w:sz w:val="22"/>
          <w:szCs w:val="22"/>
        </w:rPr>
        <w:t xml:space="preserve"> y ofrecer</w:t>
      </w:r>
      <w:r w:rsidRPr="002F038B">
        <w:rPr>
          <w:rFonts w:ascii="Tahoma" w:eastAsiaTheme="majorEastAsia" w:hAnsi="Tahoma" w:cs="Tahoma"/>
          <w:sz w:val="22"/>
          <w:szCs w:val="22"/>
        </w:rPr>
        <w:t xml:space="preserve"> </w:t>
      </w:r>
      <w:r>
        <w:rPr>
          <w:rFonts w:ascii="Tahoma" w:eastAsiaTheme="majorEastAsia" w:hAnsi="Tahoma" w:cs="Tahoma"/>
          <w:sz w:val="22"/>
          <w:szCs w:val="22"/>
        </w:rPr>
        <w:t xml:space="preserve">a través de protocolos contra la violencia de género la </w:t>
      </w:r>
      <w:r w:rsidRPr="002F038B">
        <w:rPr>
          <w:rFonts w:ascii="Tahoma" w:eastAsiaTheme="majorEastAsia" w:hAnsi="Tahoma" w:cs="Tahoma"/>
          <w:sz w:val="22"/>
          <w:szCs w:val="22"/>
        </w:rPr>
        <w:t>protección efectiva a quienes lo necesiten.</w:t>
      </w:r>
    </w:p>
    <w:p w14:paraId="25079E60" w14:textId="77777777" w:rsidR="002F038B" w:rsidRDefault="001E0896" w:rsidP="00603EB4">
      <w:pPr>
        <w:rPr>
          <w:rFonts w:ascii="Tahoma" w:eastAsiaTheme="majorEastAsia" w:hAnsi="Tahoma" w:cs="Tahoma"/>
          <w:sz w:val="22"/>
          <w:szCs w:val="22"/>
        </w:rPr>
      </w:pPr>
      <w:r>
        <w:rPr>
          <w:rFonts w:ascii="Tahoma" w:eastAsiaTheme="majorEastAsia" w:hAnsi="Tahoma" w:cs="Tahoma"/>
          <w:sz w:val="22"/>
          <w:szCs w:val="22"/>
        </w:rPr>
        <w:lastRenderedPageBreak/>
        <w:t xml:space="preserve">FEDA ha editado </w:t>
      </w:r>
      <w:r w:rsidR="009B103B">
        <w:rPr>
          <w:rFonts w:ascii="Tahoma" w:eastAsiaTheme="majorEastAsia" w:hAnsi="Tahoma" w:cs="Tahoma"/>
          <w:sz w:val="22"/>
          <w:szCs w:val="22"/>
        </w:rPr>
        <w:t xml:space="preserve">como miembro del </w:t>
      </w:r>
      <w:hyperlink r:id="rId8" w:history="1">
        <w:r w:rsidR="00750641" w:rsidRPr="002E61F7">
          <w:rPr>
            <w:rStyle w:val="Hipervnculo"/>
            <w:rFonts w:ascii="Tahoma" w:hAnsi="Tahoma" w:cs="Tahoma"/>
            <w:sz w:val="22"/>
            <w:szCs w:val="22"/>
          </w:rPr>
          <w:t>Observatorio Provincial de Igualdad en las Relaciones Laborales</w:t>
        </w:r>
      </w:hyperlink>
      <w:r w:rsidR="009B103B">
        <w:rPr>
          <w:rFonts w:ascii="Tahoma" w:eastAsiaTheme="majorEastAsia" w:hAnsi="Tahoma" w:cs="Tahoma"/>
          <w:sz w:val="22"/>
          <w:szCs w:val="22"/>
        </w:rPr>
        <w:t xml:space="preserve"> una guía </w:t>
      </w:r>
      <w:r w:rsidR="0033510B">
        <w:rPr>
          <w:rFonts w:ascii="Tahoma" w:eastAsiaTheme="majorEastAsia" w:hAnsi="Tahoma" w:cs="Tahoma"/>
          <w:sz w:val="22"/>
          <w:szCs w:val="22"/>
        </w:rPr>
        <w:t xml:space="preserve">para prevenir y combatir la </w:t>
      </w:r>
      <w:hyperlink r:id="rId9" w:history="1">
        <w:r w:rsidR="0033510B" w:rsidRPr="00750641">
          <w:rPr>
            <w:rStyle w:val="Hipervnculo"/>
            <w:rFonts w:ascii="Tahoma" w:eastAsiaTheme="majorEastAsia" w:hAnsi="Tahoma" w:cs="Tahoma"/>
            <w:sz w:val="22"/>
            <w:szCs w:val="22"/>
          </w:rPr>
          <w:t xml:space="preserve">violencia de </w:t>
        </w:r>
        <w:r w:rsidR="00750641" w:rsidRPr="00750641">
          <w:rPr>
            <w:rStyle w:val="Hipervnculo"/>
            <w:rFonts w:ascii="Tahoma" w:eastAsiaTheme="majorEastAsia" w:hAnsi="Tahoma" w:cs="Tahoma"/>
            <w:sz w:val="22"/>
            <w:szCs w:val="22"/>
          </w:rPr>
          <w:t>género desde el ámbito laboral</w:t>
        </w:r>
      </w:hyperlink>
      <w:r w:rsidR="00750641">
        <w:rPr>
          <w:rFonts w:ascii="Tahoma" w:eastAsiaTheme="majorEastAsia" w:hAnsi="Tahoma" w:cs="Tahoma"/>
          <w:sz w:val="22"/>
          <w:szCs w:val="22"/>
        </w:rPr>
        <w:t xml:space="preserve">, que ha sido distribuida en formato digital y físico junto con los sindicatos y el resto de instituciones.  </w:t>
      </w:r>
    </w:p>
    <w:p w14:paraId="3053948E" w14:textId="77777777" w:rsidR="00603EB4" w:rsidRPr="00603EB4" w:rsidRDefault="00603EB4" w:rsidP="00603EB4">
      <w:pPr>
        <w:rPr>
          <w:rFonts w:ascii="Tahoma" w:eastAsiaTheme="majorEastAsia" w:hAnsi="Tahoma" w:cs="Tahoma"/>
          <w:sz w:val="22"/>
          <w:szCs w:val="22"/>
        </w:rPr>
      </w:pPr>
    </w:p>
    <w:p w14:paraId="1176D099" w14:textId="77777777" w:rsidR="002F038B" w:rsidRPr="002F038B" w:rsidRDefault="00750641" w:rsidP="00D275CC">
      <w:pPr>
        <w:spacing w:after="160"/>
        <w:rPr>
          <w:rFonts w:ascii="Tahoma" w:eastAsia="Tahoma" w:hAnsi="Tahoma" w:cs="Tahoma"/>
          <w:sz w:val="22"/>
          <w:szCs w:val="22"/>
        </w:rPr>
      </w:pPr>
      <w:r>
        <w:rPr>
          <w:rFonts w:ascii="Tahoma" w:hAnsi="Tahoma" w:cs="Tahoma"/>
          <w:b/>
          <w:color w:val="192225"/>
          <w:sz w:val="22"/>
          <w:szCs w:val="22"/>
        </w:rPr>
        <w:t xml:space="preserve">El </w:t>
      </w:r>
      <w:r w:rsidR="00536430" w:rsidRPr="00940444">
        <w:rPr>
          <w:rFonts w:ascii="Tahoma" w:hAnsi="Tahoma" w:cs="Tahoma"/>
          <w:b/>
          <w:color w:val="192225"/>
          <w:sz w:val="22"/>
          <w:szCs w:val="22"/>
        </w:rPr>
        <w:t>OPI</w:t>
      </w:r>
      <w:r w:rsidR="00536430">
        <w:rPr>
          <w:rFonts w:ascii="Tahoma" w:hAnsi="Tahoma" w:cs="Tahoma"/>
          <w:color w:val="192225"/>
          <w:sz w:val="22"/>
          <w:szCs w:val="22"/>
        </w:rPr>
        <w:t xml:space="preserve"> </w:t>
      </w:r>
      <w:r w:rsidR="00930896">
        <w:rPr>
          <w:rFonts w:ascii="Tahoma" w:hAnsi="Tahoma" w:cs="Tahoma"/>
          <w:color w:val="192225"/>
          <w:sz w:val="22"/>
          <w:szCs w:val="22"/>
        </w:rPr>
        <w:t xml:space="preserve">está </w:t>
      </w:r>
      <w:r w:rsidR="00A40279" w:rsidRPr="002E61F7">
        <w:rPr>
          <w:rFonts w:ascii="Tahoma" w:hAnsi="Tahoma" w:cs="Tahoma"/>
          <w:color w:val="192225"/>
          <w:sz w:val="22"/>
          <w:szCs w:val="22"/>
        </w:rPr>
        <w:t xml:space="preserve">promovido </w:t>
      </w:r>
      <w:r w:rsidR="00930896">
        <w:rPr>
          <w:rFonts w:ascii="Tahoma" w:hAnsi="Tahoma" w:cs="Tahoma"/>
          <w:color w:val="192225"/>
          <w:sz w:val="22"/>
          <w:szCs w:val="22"/>
        </w:rPr>
        <w:t>por</w:t>
      </w:r>
      <w:r w:rsidR="00A40279" w:rsidRPr="002E61F7">
        <w:rPr>
          <w:rFonts w:ascii="Tahoma" w:hAnsi="Tahoma" w:cs="Tahoma"/>
          <w:color w:val="192225"/>
          <w:sz w:val="22"/>
          <w:szCs w:val="22"/>
        </w:rPr>
        <w:t xml:space="preserve"> </w:t>
      </w:r>
      <w:hyperlink r:id="rId10" w:history="1">
        <w:r w:rsidR="00A40279" w:rsidRPr="002E61F7">
          <w:rPr>
            <w:rStyle w:val="Hipervnculo"/>
            <w:rFonts w:ascii="Tahoma" w:hAnsi="Tahoma" w:cs="Tahoma"/>
            <w:sz w:val="22"/>
            <w:szCs w:val="22"/>
          </w:rPr>
          <w:t>CCOO</w:t>
        </w:r>
      </w:hyperlink>
      <w:r w:rsidR="00A40279" w:rsidRPr="002E61F7">
        <w:rPr>
          <w:rFonts w:ascii="Tahoma" w:hAnsi="Tahoma" w:cs="Tahoma"/>
          <w:color w:val="192225"/>
          <w:sz w:val="22"/>
          <w:szCs w:val="22"/>
        </w:rPr>
        <w:t xml:space="preserve">, </w:t>
      </w:r>
      <w:hyperlink r:id="rId11" w:history="1">
        <w:r w:rsidR="00A40279" w:rsidRPr="002E61F7">
          <w:rPr>
            <w:rStyle w:val="Hipervnculo"/>
            <w:rFonts w:ascii="Tahoma" w:hAnsi="Tahoma" w:cs="Tahoma"/>
            <w:sz w:val="22"/>
            <w:szCs w:val="22"/>
          </w:rPr>
          <w:t>UGT</w:t>
        </w:r>
      </w:hyperlink>
      <w:r w:rsidR="00A40279" w:rsidRPr="002E61F7">
        <w:rPr>
          <w:rFonts w:ascii="Tahoma" w:hAnsi="Tahoma" w:cs="Tahoma"/>
          <w:color w:val="192225"/>
          <w:sz w:val="22"/>
          <w:szCs w:val="22"/>
        </w:rPr>
        <w:t xml:space="preserve"> y </w:t>
      </w:r>
      <w:hyperlink r:id="rId12" w:history="1">
        <w:r w:rsidR="00A40279" w:rsidRPr="002E61F7">
          <w:rPr>
            <w:rStyle w:val="Hipervnculo"/>
            <w:rFonts w:ascii="Tahoma" w:hAnsi="Tahoma" w:cs="Tahoma"/>
            <w:sz w:val="22"/>
            <w:szCs w:val="22"/>
          </w:rPr>
          <w:t>FEDA</w:t>
        </w:r>
      </w:hyperlink>
      <w:r w:rsidR="00A40279" w:rsidRPr="002E61F7">
        <w:rPr>
          <w:rFonts w:ascii="Tahoma" w:hAnsi="Tahoma" w:cs="Tahoma"/>
          <w:color w:val="192225"/>
          <w:sz w:val="22"/>
          <w:szCs w:val="22"/>
        </w:rPr>
        <w:t xml:space="preserve"> y con el apoyo institucional de la</w:t>
      </w:r>
      <w:r w:rsidR="00A432CA">
        <w:rPr>
          <w:rFonts w:ascii="Tahoma" w:hAnsi="Tahoma" w:cs="Tahoma"/>
          <w:color w:val="192225"/>
          <w:sz w:val="22"/>
          <w:szCs w:val="22"/>
        </w:rPr>
        <w:t xml:space="preserve"> </w:t>
      </w:r>
      <w:hyperlink r:id="rId13">
        <w:r w:rsidR="00A432CA">
          <w:rPr>
            <w:rStyle w:val="EnlacedeInternet"/>
            <w:rFonts w:ascii="Tahoma" w:eastAsia="Tahoma" w:hAnsi="Tahoma" w:cs="Tahoma"/>
            <w:sz w:val="22"/>
            <w:szCs w:val="22"/>
          </w:rPr>
          <w:t>Junta de Comunidades de Castilla-La Mancha</w:t>
        </w:r>
      </w:hyperlink>
      <w:r w:rsidR="00A432CA">
        <w:rPr>
          <w:rFonts w:ascii="Tahoma" w:eastAsia="Tahoma" w:hAnsi="Tahoma" w:cs="Tahoma"/>
          <w:sz w:val="22"/>
          <w:szCs w:val="22"/>
        </w:rPr>
        <w:t xml:space="preserve">, la </w:t>
      </w:r>
      <w:hyperlink r:id="rId14">
        <w:r w:rsidR="00A432CA">
          <w:rPr>
            <w:rStyle w:val="EnlacedeInternet"/>
            <w:rFonts w:ascii="Tahoma" w:eastAsia="Tahoma" w:hAnsi="Tahoma" w:cs="Tahoma"/>
            <w:sz w:val="22"/>
            <w:szCs w:val="22"/>
          </w:rPr>
          <w:t>Diputación Provincial</w:t>
        </w:r>
      </w:hyperlink>
      <w:r w:rsidR="00A432CA">
        <w:rPr>
          <w:rFonts w:ascii="Tahoma" w:eastAsia="Tahoma" w:hAnsi="Tahoma" w:cs="Tahoma"/>
          <w:sz w:val="22"/>
          <w:szCs w:val="22"/>
        </w:rPr>
        <w:t xml:space="preserve">, el </w:t>
      </w:r>
      <w:hyperlink r:id="rId15">
        <w:r w:rsidR="00A432CA">
          <w:rPr>
            <w:rStyle w:val="EnlacedeInternet"/>
            <w:rFonts w:ascii="Tahoma" w:eastAsia="Tahoma" w:hAnsi="Tahoma" w:cs="Tahoma"/>
            <w:sz w:val="22"/>
            <w:szCs w:val="22"/>
          </w:rPr>
          <w:t>Ayuntamiento de Albacete</w:t>
        </w:r>
      </w:hyperlink>
      <w:r w:rsidR="00A432CA">
        <w:rPr>
          <w:rFonts w:ascii="Tahoma" w:eastAsia="Tahoma" w:hAnsi="Tahoma" w:cs="Tahoma"/>
          <w:sz w:val="22"/>
          <w:szCs w:val="22"/>
        </w:rPr>
        <w:t xml:space="preserve"> desde sus </w:t>
      </w:r>
      <w:hyperlink r:id="rId16">
        <w:r w:rsidR="00A432CA">
          <w:rPr>
            <w:rStyle w:val="EnlacedeInternet"/>
            <w:rFonts w:ascii="Tahoma" w:eastAsia="Tahoma" w:hAnsi="Tahoma" w:cs="Tahoma"/>
            <w:sz w:val="22"/>
            <w:szCs w:val="22"/>
          </w:rPr>
          <w:t>áreas representativas en materia de Igualdad</w:t>
        </w:r>
      </w:hyperlink>
      <w:r w:rsidR="00A432CA">
        <w:rPr>
          <w:rFonts w:ascii="Tahoma" w:eastAsia="Tahoma" w:hAnsi="Tahoma" w:cs="Tahoma"/>
          <w:sz w:val="22"/>
          <w:szCs w:val="22"/>
        </w:rPr>
        <w:t>.</w:t>
      </w:r>
      <w:r w:rsidR="00116B9F">
        <w:rPr>
          <w:rFonts w:ascii="Tahoma" w:eastAsia="Tahoma" w:hAnsi="Tahoma" w:cs="Tahoma"/>
          <w:sz w:val="22"/>
          <w:szCs w:val="22"/>
        </w:rPr>
        <w:t xml:space="preserve"> Próximamente se presentará el informe de resultados y actu</w:t>
      </w:r>
      <w:r w:rsidR="002F038B">
        <w:rPr>
          <w:rFonts w:ascii="Tahoma" w:eastAsia="Tahoma" w:hAnsi="Tahoma" w:cs="Tahoma"/>
          <w:sz w:val="22"/>
          <w:szCs w:val="22"/>
        </w:rPr>
        <w:t>aciones del Observatorio en 2025.</w:t>
      </w:r>
    </w:p>
    <w:p w14:paraId="162D3C3A" w14:textId="77777777" w:rsidR="00C73613" w:rsidRPr="00CD38C9" w:rsidRDefault="00930896" w:rsidP="00DB4F71">
      <w:pPr>
        <w:spacing w:after="160"/>
        <w:rPr>
          <w:rStyle w:val="Hipervnculo"/>
          <w:rFonts w:ascii="Tahoma" w:hAnsi="Tahoma" w:cs="Tahoma"/>
          <w:color w:val="auto"/>
          <w:sz w:val="22"/>
          <w:szCs w:val="22"/>
          <w:u w:val="none"/>
        </w:rPr>
      </w:pPr>
      <w:r>
        <w:rPr>
          <w:rStyle w:val="Hipervnculo"/>
          <w:rFonts w:ascii="Tahoma" w:hAnsi="Tahoma" w:cs="Tahoma"/>
          <w:color w:val="auto"/>
          <w:sz w:val="22"/>
          <w:szCs w:val="22"/>
          <w:u w:val="none"/>
        </w:rPr>
        <w:t>FEDA</w:t>
      </w:r>
      <w:r w:rsidR="00DB4F71">
        <w:rPr>
          <w:rStyle w:val="Hipervnculo"/>
          <w:rFonts w:ascii="Tahoma" w:hAnsi="Tahoma" w:cs="Tahoma"/>
          <w:color w:val="auto"/>
          <w:sz w:val="22"/>
          <w:szCs w:val="22"/>
          <w:u w:val="none"/>
        </w:rPr>
        <w:t xml:space="preserve"> tiene vigente su </w:t>
      </w:r>
      <w:hyperlink r:id="rId17" w:history="1">
        <w:r w:rsidR="00B33383" w:rsidRPr="00B33383">
          <w:rPr>
            <w:rStyle w:val="Hipervnculo"/>
            <w:rFonts w:ascii="Tahoma" w:hAnsi="Tahoma" w:cs="Tahoma"/>
            <w:sz w:val="22"/>
            <w:szCs w:val="22"/>
          </w:rPr>
          <w:t>II Plan de Igualdad</w:t>
        </w:r>
      </w:hyperlink>
      <w:r w:rsidR="00C77D15">
        <w:rPr>
          <w:rStyle w:val="Hipervnculo"/>
          <w:rFonts w:ascii="Tahoma" w:hAnsi="Tahoma" w:cs="Tahoma"/>
          <w:color w:val="auto"/>
          <w:sz w:val="22"/>
          <w:szCs w:val="22"/>
          <w:u w:val="none"/>
        </w:rPr>
        <w:t xml:space="preserve"> con un importante compromiso de sensibilización interna y externa contra la violencia contra la mujer. </w:t>
      </w:r>
    </w:p>
    <w:sectPr w:rsidR="00C73613" w:rsidRPr="00CD38C9" w:rsidSect="000D4D85">
      <w:headerReference w:type="default" r:id="rId18"/>
      <w:footerReference w:type="even" r:id="rId19"/>
      <w:footerReference w:type="default" r:id="rId2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7D9BA" w14:textId="77777777" w:rsidR="00DB63E8" w:rsidRDefault="00DB63E8">
      <w:r>
        <w:separator/>
      </w:r>
    </w:p>
  </w:endnote>
  <w:endnote w:type="continuationSeparator" w:id="0">
    <w:p w14:paraId="0F2406BD" w14:textId="77777777" w:rsidR="00DB63E8" w:rsidRDefault="00DB6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D3DC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EF81379"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B2399"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03EB4">
      <w:rPr>
        <w:rStyle w:val="Nmerodepgina"/>
        <w:noProof/>
        <w:sz w:val="11"/>
        <w:szCs w:val="11"/>
      </w:rPr>
      <w:t>2</w:t>
    </w:r>
    <w:r>
      <w:rPr>
        <w:rStyle w:val="Nmerodepgina"/>
        <w:sz w:val="11"/>
        <w:szCs w:val="11"/>
      </w:rPr>
      <w:fldChar w:fldCharType="end"/>
    </w:r>
  </w:p>
  <w:p w14:paraId="7A919DF6"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89CF931" wp14:editId="091083CD">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99D0F63" wp14:editId="7964207A">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2A95CC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2657F4A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9D0F63"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32A95CC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2657F4A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13EEE85" wp14:editId="36512415">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1E20335" wp14:editId="36A1F055">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A028EE4"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0F308F82"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E20335"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3A028EE4"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0F308F82" w14:textId="77777777" w:rsidR="00A90926" w:rsidRPr="00C00842" w:rsidRDefault="00A90926">
                    <w:pPr>
                      <w:rPr>
                        <w:sz w:val="18"/>
                        <w:szCs w:val="18"/>
                      </w:rPr>
                    </w:pPr>
                  </w:p>
                </w:txbxContent>
              </v:textbox>
            </v:shape>
          </w:pict>
        </mc:Fallback>
      </mc:AlternateContent>
    </w:r>
  </w:p>
  <w:p w14:paraId="3F65F076"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D8DABD1" wp14:editId="3F0560F2">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C64ECAB" wp14:editId="56D84445">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1BFF757" wp14:editId="7C808A23">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2C79A6E"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BFF757"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32C79A6E"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A405022" wp14:editId="404F0616">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C80075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40502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C80075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4C65C" w14:textId="77777777" w:rsidR="00DB63E8" w:rsidRDefault="00DB63E8">
      <w:r>
        <w:separator/>
      </w:r>
    </w:p>
  </w:footnote>
  <w:footnote w:type="continuationSeparator" w:id="0">
    <w:p w14:paraId="56F3BEEC" w14:textId="77777777" w:rsidR="00DB63E8" w:rsidRDefault="00DB6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74E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3342911C" wp14:editId="1BC5A6C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EF9ABF1"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B461737"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AF56A94"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42C4573"/>
    <w:multiLevelType w:val="hybridMultilevel"/>
    <w:tmpl w:val="CAB8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EB091C"/>
    <w:multiLevelType w:val="hybridMultilevel"/>
    <w:tmpl w:val="6AD4C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E5F4E23"/>
    <w:multiLevelType w:val="hybridMultilevel"/>
    <w:tmpl w:val="CE6C9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225113"/>
    <w:multiLevelType w:val="hybridMultilevel"/>
    <w:tmpl w:val="D160DECC"/>
    <w:lvl w:ilvl="0" w:tplc="D0BEA68C">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6400AC"/>
    <w:multiLevelType w:val="hybridMultilevel"/>
    <w:tmpl w:val="FA0C43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483354499">
    <w:abstractNumId w:val="16"/>
  </w:num>
  <w:num w:numId="2" w16cid:durableId="1869752290">
    <w:abstractNumId w:val="6"/>
  </w:num>
  <w:num w:numId="3" w16cid:durableId="2054036076">
    <w:abstractNumId w:val="2"/>
  </w:num>
  <w:num w:numId="4" w16cid:durableId="174737621">
    <w:abstractNumId w:val="1"/>
  </w:num>
  <w:num w:numId="5" w16cid:durableId="1748769379">
    <w:abstractNumId w:val="0"/>
  </w:num>
  <w:num w:numId="6" w16cid:durableId="1121991889">
    <w:abstractNumId w:val="11"/>
  </w:num>
  <w:num w:numId="7" w16cid:durableId="1180394659">
    <w:abstractNumId w:val="13"/>
  </w:num>
  <w:num w:numId="8" w16cid:durableId="1440182811">
    <w:abstractNumId w:val="10"/>
  </w:num>
  <w:num w:numId="9" w16cid:durableId="610748382">
    <w:abstractNumId w:val="7"/>
  </w:num>
  <w:num w:numId="10" w16cid:durableId="556429117">
    <w:abstractNumId w:val="14"/>
  </w:num>
  <w:num w:numId="11" w16cid:durableId="996763251">
    <w:abstractNumId w:val="12"/>
  </w:num>
  <w:num w:numId="12" w16cid:durableId="190729262">
    <w:abstractNumId w:val="8"/>
  </w:num>
  <w:num w:numId="13" w16cid:durableId="693385338">
    <w:abstractNumId w:val="15"/>
  </w:num>
  <w:num w:numId="14" w16cid:durableId="103110339">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9A"/>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2C7D"/>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334"/>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3A30"/>
    <w:rsid w:val="00116B9F"/>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8E0"/>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1FE4"/>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0896"/>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382"/>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76720"/>
    <w:rsid w:val="00280080"/>
    <w:rsid w:val="00280F8A"/>
    <w:rsid w:val="00283498"/>
    <w:rsid w:val="00283D82"/>
    <w:rsid w:val="00284DB8"/>
    <w:rsid w:val="00284E35"/>
    <w:rsid w:val="00284E70"/>
    <w:rsid w:val="00284FDC"/>
    <w:rsid w:val="002864BE"/>
    <w:rsid w:val="00286E77"/>
    <w:rsid w:val="002876CD"/>
    <w:rsid w:val="00287899"/>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186B"/>
    <w:rsid w:val="002E4910"/>
    <w:rsid w:val="002E4CAD"/>
    <w:rsid w:val="002E5481"/>
    <w:rsid w:val="002E61DF"/>
    <w:rsid w:val="002E61F7"/>
    <w:rsid w:val="002E73D3"/>
    <w:rsid w:val="002E73D7"/>
    <w:rsid w:val="002E7930"/>
    <w:rsid w:val="002F00B6"/>
    <w:rsid w:val="002F038B"/>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10B"/>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2C5"/>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60C"/>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11E0"/>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3E2E"/>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0CA8"/>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094"/>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08C4"/>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6430"/>
    <w:rsid w:val="0053774A"/>
    <w:rsid w:val="005400F6"/>
    <w:rsid w:val="00540DE0"/>
    <w:rsid w:val="00541FD7"/>
    <w:rsid w:val="00542108"/>
    <w:rsid w:val="00542E67"/>
    <w:rsid w:val="00542F4A"/>
    <w:rsid w:val="0054327A"/>
    <w:rsid w:val="00543FB2"/>
    <w:rsid w:val="00545305"/>
    <w:rsid w:val="00545BDB"/>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742"/>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1DA"/>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3EB4"/>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9C0"/>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0641"/>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1297"/>
    <w:rsid w:val="007624D0"/>
    <w:rsid w:val="00763145"/>
    <w:rsid w:val="0076323D"/>
    <w:rsid w:val="0076424F"/>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0896"/>
    <w:rsid w:val="00931804"/>
    <w:rsid w:val="00931F14"/>
    <w:rsid w:val="00931F83"/>
    <w:rsid w:val="0093254D"/>
    <w:rsid w:val="009328DC"/>
    <w:rsid w:val="009328F3"/>
    <w:rsid w:val="009329E0"/>
    <w:rsid w:val="00933017"/>
    <w:rsid w:val="00933CB2"/>
    <w:rsid w:val="00934351"/>
    <w:rsid w:val="009346FA"/>
    <w:rsid w:val="00934764"/>
    <w:rsid w:val="00934E4A"/>
    <w:rsid w:val="0093637E"/>
    <w:rsid w:val="00937345"/>
    <w:rsid w:val="00937A13"/>
    <w:rsid w:val="0094011E"/>
    <w:rsid w:val="0094038E"/>
    <w:rsid w:val="00940444"/>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03B"/>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4DF0"/>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4C4"/>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279"/>
    <w:rsid w:val="00A40988"/>
    <w:rsid w:val="00A41179"/>
    <w:rsid w:val="00A4156C"/>
    <w:rsid w:val="00A41BC6"/>
    <w:rsid w:val="00A4245B"/>
    <w:rsid w:val="00A42567"/>
    <w:rsid w:val="00A432CA"/>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387"/>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135C"/>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3383"/>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3613"/>
    <w:rsid w:val="00C74C54"/>
    <w:rsid w:val="00C74E31"/>
    <w:rsid w:val="00C76A5D"/>
    <w:rsid w:val="00C771E2"/>
    <w:rsid w:val="00C771FC"/>
    <w:rsid w:val="00C77571"/>
    <w:rsid w:val="00C779DD"/>
    <w:rsid w:val="00C77D15"/>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B20"/>
    <w:rsid w:val="00CC7D01"/>
    <w:rsid w:val="00CC7D9D"/>
    <w:rsid w:val="00CD0B44"/>
    <w:rsid w:val="00CD0FF2"/>
    <w:rsid w:val="00CD2087"/>
    <w:rsid w:val="00CD250A"/>
    <w:rsid w:val="00CD2D99"/>
    <w:rsid w:val="00CD38C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0A3B"/>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5CC"/>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4F71"/>
    <w:rsid w:val="00DB513F"/>
    <w:rsid w:val="00DB52A3"/>
    <w:rsid w:val="00DB5382"/>
    <w:rsid w:val="00DB63E8"/>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95B"/>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026"/>
    <w:rsid w:val="00F762B5"/>
    <w:rsid w:val="00F76D2D"/>
    <w:rsid w:val="00F77906"/>
    <w:rsid w:val="00F77992"/>
    <w:rsid w:val="00F8076E"/>
    <w:rsid w:val="00F807AF"/>
    <w:rsid w:val="00F80E81"/>
    <w:rsid w:val="00F80FF2"/>
    <w:rsid w:val="00F81AF0"/>
    <w:rsid w:val="00F82C91"/>
    <w:rsid w:val="00F834C8"/>
    <w:rsid w:val="00F83912"/>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A99"/>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38C3FBFB"/>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customStyle="1" w:styleId="EnlacedeInternet">
    <w:name w:val="Enlace de Internet"/>
    <w:basedOn w:val="Fuentedeprrafopredeter"/>
    <w:uiPriority w:val="99"/>
    <w:unhideWhenUsed/>
    <w:rsid w:val="00A432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87400174">
      <w:bodyDiv w:val="1"/>
      <w:marLeft w:val="0"/>
      <w:marRight w:val="0"/>
      <w:marTop w:val="0"/>
      <w:marBottom w:val="0"/>
      <w:divBdr>
        <w:top w:val="none" w:sz="0" w:space="0" w:color="auto"/>
        <w:left w:val="none" w:sz="0" w:space="0" w:color="auto"/>
        <w:bottom w:val="none" w:sz="0" w:space="0" w:color="auto"/>
        <w:right w:val="none" w:sz="0" w:space="0" w:color="auto"/>
      </w:divBdr>
      <w:divsChild>
        <w:div w:id="2022661870">
          <w:marLeft w:val="0"/>
          <w:marRight w:val="0"/>
          <w:marTop w:val="0"/>
          <w:marBottom w:val="0"/>
          <w:divBdr>
            <w:top w:val="none" w:sz="0" w:space="0" w:color="auto"/>
            <w:left w:val="none" w:sz="0" w:space="0" w:color="auto"/>
            <w:bottom w:val="none" w:sz="0" w:space="0" w:color="auto"/>
            <w:right w:val="none" w:sz="0" w:space="0" w:color="auto"/>
          </w:divBdr>
        </w:div>
        <w:div w:id="907031120">
          <w:marLeft w:val="0"/>
          <w:marRight w:val="0"/>
          <w:marTop w:val="198"/>
          <w:marBottom w:val="0"/>
          <w:divBdr>
            <w:top w:val="none" w:sz="0" w:space="0" w:color="auto"/>
            <w:left w:val="none" w:sz="0" w:space="0" w:color="auto"/>
            <w:bottom w:val="none" w:sz="0" w:space="0" w:color="auto"/>
            <w:right w:val="none" w:sz="0" w:space="0" w:color="auto"/>
          </w:divBdr>
        </w:div>
        <w:div w:id="1887523529">
          <w:marLeft w:val="265"/>
          <w:marRight w:val="0"/>
          <w:marTop w:val="198"/>
          <w:marBottom w:val="0"/>
          <w:divBdr>
            <w:top w:val="none" w:sz="0" w:space="0" w:color="auto"/>
            <w:left w:val="none" w:sz="0" w:space="0" w:color="auto"/>
            <w:bottom w:val="none" w:sz="0" w:space="0" w:color="auto"/>
            <w:right w:val="none" w:sz="0" w:space="0" w:color="auto"/>
          </w:divBdr>
          <w:divsChild>
            <w:div w:id="1683124689">
              <w:marLeft w:val="0"/>
              <w:marRight w:val="0"/>
              <w:marTop w:val="0"/>
              <w:marBottom w:val="240"/>
              <w:divBdr>
                <w:top w:val="none" w:sz="0" w:space="0" w:color="auto"/>
                <w:left w:val="none" w:sz="0" w:space="0" w:color="auto"/>
                <w:bottom w:val="dotted" w:sz="12" w:space="0" w:color="B8B8B8"/>
                <w:right w:val="none" w:sz="0" w:space="0" w:color="auto"/>
              </w:divBdr>
              <w:divsChild>
                <w:div w:id="187835357">
                  <w:marLeft w:val="0"/>
                  <w:marRight w:val="0"/>
                  <w:marTop w:val="0"/>
                  <w:marBottom w:val="0"/>
                  <w:divBdr>
                    <w:top w:val="none" w:sz="0" w:space="0" w:color="auto"/>
                    <w:left w:val="none" w:sz="0" w:space="0" w:color="auto"/>
                    <w:bottom w:val="none" w:sz="0" w:space="0" w:color="auto"/>
                    <w:right w:val="none" w:sz="0" w:space="0" w:color="auto"/>
                  </w:divBdr>
                  <w:divsChild>
                    <w:div w:id="97795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7761">
              <w:marLeft w:val="0"/>
              <w:marRight w:val="0"/>
              <w:marTop w:val="0"/>
              <w:marBottom w:val="0"/>
              <w:divBdr>
                <w:top w:val="none" w:sz="0" w:space="0" w:color="auto"/>
                <w:left w:val="none" w:sz="0" w:space="0" w:color="auto"/>
                <w:bottom w:val="none" w:sz="0" w:space="0" w:color="auto"/>
                <w:right w:val="none" w:sz="0" w:space="0" w:color="auto"/>
              </w:divBdr>
              <w:divsChild>
                <w:div w:id="17512704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0452170">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pialbacete.es/" TargetMode="External"/><Relationship Id="rId13"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eda.es/valor-anadido/responsabilidad-social-empresarial/plan-de-igualdad/plan-de-igualdad-en-la-prensa" TargetMode="External"/><Relationship Id="rId17" Type="http://schemas.openxmlformats.org/officeDocument/2006/relationships/hyperlink" Target="https://www.feda.es/valor-anadido/responsabilidad-social-empresarial/ii-plan-de-igualdad" TargetMode="External"/><Relationship Id="rId2" Type="http://schemas.openxmlformats.org/officeDocument/2006/relationships/numbering" Target="numbering.xml"/><Relationship Id="rId16" Type="http://schemas.openxmlformats.org/officeDocument/2006/relationships/hyperlink" Target="https://www.opialbacete.es/contac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gt.es/sedes/Castilla-La%20Mancha" TargetMode="External"/><Relationship Id="rId5" Type="http://schemas.openxmlformats.org/officeDocument/2006/relationships/webSettings" Target="webSettings.xml"/><Relationship Id="rId15" Type="http://schemas.openxmlformats.org/officeDocument/2006/relationships/hyperlink" Target="https://www.albacete.es/es/bienestar-social/mujer-igualdad" TargetMode="External"/><Relationship Id="rId10" Type="http://schemas.openxmlformats.org/officeDocument/2006/relationships/hyperlink" Target="https://castillalamancha.ccoo.es/Albacete/Sedes_y_Asesoria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pialbacete.es/wp-content/uploads/2024/01/GUIA-OPI-GUI&#769;A-PARA-PREVENIR-Y-COMBATIR-LA-VIOLENCIA-DE-GE&#769;NERO-DESDE-EL-A&#769;MBITO-LABORAL.pdf" TargetMode="External"/><Relationship Id="rId14" Type="http://schemas.openxmlformats.org/officeDocument/2006/relationships/hyperlink" Target="https://igualdad.dipualba.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09E74-9957-493A-BD7B-09B91370B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2</Pages>
  <Words>534</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4243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46</cp:revision>
  <cp:lastPrinted>2019-03-27T09:39:00Z</cp:lastPrinted>
  <dcterms:created xsi:type="dcterms:W3CDTF">2021-03-04T10:02:00Z</dcterms:created>
  <dcterms:modified xsi:type="dcterms:W3CDTF">2025-11-25T10:58:00Z</dcterms:modified>
</cp:coreProperties>
</file>