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36FA4D1" w14:textId="3AC0753B" w:rsidR="00472E80" w:rsidRPr="00517BAD" w:rsidRDefault="001F50EA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  <w:r w:rsidRPr="00517BAD">
        <w:rPr>
          <w:rFonts w:ascii="Tahoma" w:hAnsi="Tahoma" w:cs="Tahoma"/>
          <w:bCs/>
          <w:sz w:val="22"/>
          <w:szCs w:val="22"/>
        </w:rPr>
        <w:t xml:space="preserve">Albacete, </w:t>
      </w:r>
      <w:r w:rsidR="00E302AB" w:rsidRPr="00517BAD">
        <w:rPr>
          <w:rFonts w:ascii="Tahoma" w:hAnsi="Tahoma" w:cs="Tahoma"/>
          <w:bCs/>
          <w:sz w:val="22"/>
          <w:szCs w:val="22"/>
        </w:rPr>
        <w:t>26</w:t>
      </w:r>
      <w:r w:rsidRPr="00517BAD">
        <w:rPr>
          <w:rFonts w:ascii="Tahoma" w:hAnsi="Tahoma" w:cs="Tahoma"/>
          <w:bCs/>
          <w:sz w:val="22"/>
          <w:szCs w:val="22"/>
        </w:rPr>
        <w:t xml:space="preserve"> de </w:t>
      </w:r>
      <w:r w:rsidR="00E302AB" w:rsidRPr="00517BAD">
        <w:rPr>
          <w:rFonts w:ascii="Tahoma" w:hAnsi="Tahoma" w:cs="Tahoma"/>
          <w:bCs/>
          <w:sz w:val="22"/>
          <w:szCs w:val="22"/>
        </w:rPr>
        <w:t xml:space="preserve">noviembre </w:t>
      </w:r>
      <w:r w:rsidRPr="00517BAD">
        <w:rPr>
          <w:rFonts w:ascii="Tahoma" w:hAnsi="Tahoma" w:cs="Tahoma"/>
          <w:bCs/>
          <w:sz w:val="22"/>
          <w:szCs w:val="22"/>
        </w:rPr>
        <w:t>de 2025</w:t>
      </w:r>
    </w:p>
    <w:p w14:paraId="02F54421" w14:textId="77777777" w:rsidR="00517BAD" w:rsidRDefault="00517BAD" w:rsidP="00A10560">
      <w:pPr>
        <w:suppressAutoHyphens/>
        <w:ind w:right="-142" w:hanging="284"/>
        <w:jc w:val="right"/>
        <w:rPr>
          <w:rFonts w:ascii="Tahoma" w:hAnsi="Tahoma" w:cs="Tahoma"/>
          <w:bCs/>
          <w:szCs w:val="24"/>
        </w:rPr>
      </w:pPr>
    </w:p>
    <w:p w14:paraId="2FC0A7EF" w14:textId="77777777" w:rsidR="00517BAD" w:rsidRDefault="00517BAD" w:rsidP="00A10560">
      <w:pPr>
        <w:suppressAutoHyphens/>
        <w:ind w:right="-142" w:hanging="284"/>
        <w:jc w:val="right"/>
        <w:rPr>
          <w:rFonts w:ascii="Tahoma" w:hAnsi="Tahoma" w:cs="Tahoma"/>
          <w:bCs/>
          <w:szCs w:val="24"/>
        </w:rPr>
      </w:pPr>
    </w:p>
    <w:p w14:paraId="0531485E" w14:textId="49CBD3E1" w:rsidR="00517BAD" w:rsidRDefault="00517BAD" w:rsidP="00517BAD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</w:rPr>
      </w:pPr>
      <w:r w:rsidRPr="00517BAD">
        <w:rPr>
          <w:rFonts w:ascii="Tahoma" w:hAnsi="Tahoma" w:cs="Tahoma"/>
          <w:b/>
          <w:sz w:val="32"/>
          <w:szCs w:val="32"/>
        </w:rPr>
        <w:t>Una representación de empresarios de Caudete asiste con FEDA al acto empresarial por el Corredor Mediterráneo</w:t>
      </w:r>
    </w:p>
    <w:p w14:paraId="6A48BECD" w14:textId="77777777" w:rsidR="00517BAD" w:rsidRDefault="00517BAD" w:rsidP="00517BAD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</w:rPr>
      </w:pPr>
    </w:p>
    <w:p w14:paraId="604309F3" w14:textId="25331A82" w:rsidR="00517BAD" w:rsidRDefault="00517BAD" w:rsidP="00517BAD">
      <w:pPr>
        <w:pStyle w:val="Prrafodelista"/>
        <w:numPr>
          <w:ilvl w:val="0"/>
          <w:numId w:val="48"/>
        </w:numPr>
        <w:suppressAutoHyphens/>
        <w:spacing w:line="240" w:lineRule="auto"/>
        <w:ind w:right="-142"/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Se ha puesto de manifiesto la unidad en esta reivindicación, la voluntad política, pero preocupa que el retraso deje obsoleta la infraestructura ya realizada</w:t>
      </w:r>
    </w:p>
    <w:p w14:paraId="7C9BC812" w14:textId="2F6D4378" w:rsidR="00517BAD" w:rsidRPr="00517BAD" w:rsidRDefault="00517BAD" w:rsidP="00517BAD">
      <w:pPr>
        <w:pStyle w:val="Prrafodelista"/>
        <w:numPr>
          <w:ilvl w:val="0"/>
          <w:numId w:val="48"/>
        </w:numPr>
        <w:suppressAutoHyphens/>
        <w:spacing w:line="240" w:lineRule="auto"/>
        <w:ind w:right="-142"/>
        <w:jc w:val="center"/>
        <w:rPr>
          <w:rFonts w:ascii="Tahoma" w:hAnsi="Tahoma" w:cs="Tahoma"/>
          <w:b/>
          <w:bCs/>
          <w:szCs w:val="24"/>
        </w:rPr>
      </w:pPr>
      <w:r w:rsidRPr="00517BAD">
        <w:rPr>
          <w:rFonts w:ascii="Tahoma" w:hAnsi="Tahoma" w:cs="Tahoma"/>
          <w:b/>
          <w:bCs/>
        </w:rPr>
        <w:t>Esta infraestructura es clave para sectores como el turismo, el agroalimentario, la cerámica, la automoción o el calzado</w:t>
      </w:r>
    </w:p>
    <w:p w14:paraId="5D741E82" w14:textId="77777777" w:rsidR="00E302AB" w:rsidRPr="00523892" w:rsidRDefault="00E302AB" w:rsidP="00A10560">
      <w:pPr>
        <w:suppressAutoHyphens/>
        <w:ind w:right="-142" w:hanging="284"/>
        <w:jc w:val="right"/>
        <w:rPr>
          <w:rFonts w:ascii="Tahoma" w:hAnsi="Tahoma" w:cs="Tahoma"/>
          <w:bCs/>
          <w:szCs w:val="24"/>
        </w:rPr>
      </w:pPr>
    </w:p>
    <w:p w14:paraId="57D09018" w14:textId="77777777" w:rsidR="00E302AB" w:rsidRDefault="00E302AB" w:rsidP="00E302A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734DE5A" w14:textId="77777777" w:rsidR="00E302AB" w:rsidRDefault="00E302AB" w:rsidP="00E302AB"/>
    <w:p w14:paraId="424329A4" w14:textId="466DCDEC" w:rsidR="00E302AB" w:rsidRDefault="00E302AB" w:rsidP="00E302A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Empresarios de Caudete, a través de la Delegación de FEDA en la ciudad caudetana, junto a otra representación del resto de la región, a través de CECAM, han formado parte de los c</w:t>
      </w:r>
      <w:r w:rsidRPr="00E302AB">
        <w:rPr>
          <w:rFonts w:ascii="Tahoma" w:hAnsi="Tahoma" w:cs="Tahoma"/>
          <w:sz w:val="22"/>
          <w:szCs w:val="22"/>
        </w:rPr>
        <w:t xml:space="preserve">erca de 2.500 empresarios procedentes de todo el arco mediterráneo </w:t>
      </w:r>
      <w:r>
        <w:rPr>
          <w:rFonts w:ascii="Tahoma" w:hAnsi="Tahoma" w:cs="Tahoma"/>
          <w:sz w:val="22"/>
          <w:szCs w:val="22"/>
        </w:rPr>
        <w:t>que se dieron cita</w:t>
      </w:r>
      <w:r w:rsidRPr="00E302AB">
        <w:rPr>
          <w:rFonts w:ascii="Tahoma" w:hAnsi="Tahoma" w:cs="Tahoma"/>
          <w:sz w:val="22"/>
          <w:szCs w:val="22"/>
        </w:rPr>
        <w:t xml:space="preserve"> en el Roig Arena de Valencia en un acto reivindicativo bajo el lema de siempre: ‘Quiero Corredor’. La iniciativa, impulsada desde 2016 por la Asociación Valenciana de Empresarios</w:t>
      </w:r>
      <w:r>
        <w:rPr>
          <w:rFonts w:ascii="Tahoma" w:hAnsi="Tahoma" w:cs="Tahoma"/>
          <w:sz w:val="22"/>
          <w:szCs w:val="22"/>
        </w:rPr>
        <w:t>, AVE,</w:t>
      </w:r>
      <w:r w:rsidRPr="00E302AB">
        <w:rPr>
          <w:rFonts w:ascii="Tahoma" w:hAnsi="Tahoma" w:cs="Tahoma"/>
          <w:sz w:val="22"/>
          <w:szCs w:val="22"/>
        </w:rPr>
        <w:t xml:space="preserve"> culmina una serie de ocho encuentros por toda España para exigir la finalización de unas obras que cambiarían la economía nacional y europea.</w:t>
      </w:r>
    </w:p>
    <w:p w14:paraId="7525F4A3" w14:textId="77777777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</w:p>
    <w:p w14:paraId="25A157AA" w14:textId="759DACE2" w:rsidR="00E302AB" w:rsidRDefault="00E302AB" w:rsidP="00E302AB">
      <w:pPr>
        <w:rPr>
          <w:rFonts w:ascii="Tahoma" w:hAnsi="Tahoma" w:cs="Tahoma"/>
          <w:sz w:val="22"/>
          <w:szCs w:val="22"/>
        </w:rPr>
      </w:pPr>
      <w:r w:rsidRPr="00E302AB">
        <w:rPr>
          <w:rFonts w:ascii="Tahoma" w:hAnsi="Tahoma" w:cs="Tahoma"/>
          <w:sz w:val="22"/>
          <w:szCs w:val="22"/>
        </w:rPr>
        <w:t>Los objetivos de la Plataforma ha</w:t>
      </w:r>
      <w:r>
        <w:rPr>
          <w:rFonts w:ascii="Tahoma" w:hAnsi="Tahoma" w:cs="Tahoma"/>
          <w:sz w:val="22"/>
          <w:szCs w:val="22"/>
        </w:rPr>
        <w:t>n</w:t>
      </w:r>
      <w:r w:rsidRPr="00E302AB">
        <w:rPr>
          <w:rFonts w:ascii="Tahoma" w:hAnsi="Tahoma" w:cs="Tahoma"/>
          <w:sz w:val="22"/>
          <w:szCs w:val="22"/>
        </w:rPr>
        <w:t xml:space="preserve"> sido movilizar la sociedad civil y al mundo empresarial, para que el Corredor del Mediterráneo sea una prioridad en la agenda política, siendo el objetivo una doble plataforma ferroviaria, de ancho internacional que recorra el litoral </w:t>
      </w:r>
      <w:r>
        <w:rPr>
          <w:rFonts w:ascii="Tahoma" w:hAnsi="Tahoma" w:cs="Tahoma"/>
          <w:sz w:val="22"/>
          <w:szCs w:val="22"/>
        </w:rPr>
        <w:t>M</w:t>
      </w:r>
      <w:r w:rsidRPr="00E302AB">
        <w:rPr>
          <w:rFonts w:ascii="Tahoma" w:hAnsi="Tahoma" w:cs="Tahoma"/>
          <w:sz w:val="22"/>
          <w:szCs w:val="22"/>
        </w:rPr>
        <w:t>editerráneo desde la frontera con Francia hasta Algeciras,  uniendo las ciudades mediterráneas, con el resto del país y Europa. Uniéndose a los</w:t>
      </w:r>
      <w:r>
        <w:rPr>
          <w:rFonts w:ascii="Tahoma" w:hAnsi="Tahoma" w:cs="Tahoma"/>
          <w:sz w:val="22"/>
          <w:szCs w:val="22"/>
        </w:rPr>
        <w:t xml:space="preserve"> nueve c</w:t>
      </w:r>
      <w:r w:rsidRPr="00E302AB">
        <w:rPr>
          <w:rFonts w:ascii="Tahoma" w:hAnsi="Tahoma" w:cs="Tahoma"/>
          <w:sz w:val="22"/>
          <w:szCs w:val="22"/>
        </w:rPr>
        <w:t xml:space="preserve">orredores del </w:t>
      </w:r>
      <w:r>
        <w:rPr>
          <w:rFonts w:ascii="Tahoma" w:hAnsi="Tahoma" w:cs="Tahoma"/>
          <w:sz w:val="22"/>
          <w:szCs w:val="22"/>
        </w:rPr>
        <w:t>M</w:t>
      </w:r>
      <w:r w:rsidRPr="00E302AB">
        <w:rPr>
          <w:rFonts w:ascii="Tahoma" w:hAnsi="Tahoma" w:cs="Tahoma"/>
          <w:sz w:val="22"/>
          <w:szCs w:val="22"/>
        </w:rPr>
        <w:t xml:space="preserve">editerráneo proyectados en Europa en nueves países </w:t>
      </w:r>
      <w:r>
        <w:rPr>
          <w:rFonts w:ascii="Tahoma" w:hAnsi="Tahoma" w:cs="Tahoma"/>
          <w:sz w:val="22"/>
          <w:szCs w:val="22"/>
        </w:rPr>
        <w:t>d</w:t>
      </w:r>
      <w:r w:rsidRPr="00E302AB">
        <w:rPr>
          <w:rFonts w:ascii="Tahoma" w:hAnsi="Tahoma" w:cs="Tahoma"/>
          <w:sz w:val="22"/>
          <w:szCs w:val="22"/>
        </w:rPr>
        <w:t>iferentes.</w:t>
      </w:r>
    </w:p>
    <w:p w14:paraId="0628A516" w14:textId="77777777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</w:p>
    <w:p w14:paraId="376D363C" w14:textId="308BD1CA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  <w:r w:rsidRPr="00E302AB">
        <w:rPr>
          <w:rFonts w:ascii="Tahoma" w:hAnsi="Tahoma" w:cs="Tahoma"/>
          <w:sz w:val="22"/>
          <w:szCs w:val="22"/>
        </w:rPr>
        <w:t>Los objetivos que ha conseguido esta Plataforma has sido</w:t>
      </w:r>
      <w:r>
        <w:rPr>
          <w:rFonts w:ascii="Tahoma" w:hAnsi="Tahoma" w:cs="Tahoma"/>
          <w:sz w:val="22"/>
          <w:szCs w:val="22"/>
        </w:rPr>
        <w:t xml:space="preserve"> van desde la i</w:t>
      </w:r>
      <w:r w:rsidRPr="00E302AB">
        <w:rPr>
          <w:rFonts w:ascii="Tahoma" w:hAnsi="Tahoma" w:cs="Tahoma"/>
          <w:sz w:val="22"/>
          <w:szCs w:val="22"/>
        </w:rPr>
        <w:t>mplicación y unidad del mundo empresarial</w:t>
      </w:r>
      <w:r>
        <w:rPr>
          <w:rFonts w:ascii="Tahoma" w:hAnsi="Tahoma" w:cs="Tahoma"/>
          <w:sz w:val="22"/>
          <w:szCs w:val="22"/>
        </w:rPr>
        <w:t>, hasta la cohesión territorial, pasando por el orden técnico y la voluntad política.</w:t>
      </w:r>
    </w:p>
    <w:p w14:paraId="1199B587" w14:textId="77777777" w:rsidR="00E302AB" w:rsidRDefault="00E302AB" w:rsidP="00E302AB">
      <w:pPr>
        <w:rPr>
          <w:rFonts w:ascii="Tahoma" w:hAnsi="Tahoma" w:cs="Tahoma"/>
          <w:sz w:val="22"/>
          <w:szCs w:val="22"/>
        </w:rPr>
      </w:pPr>
    </w:p>
    <w:p w14:paraId="23D65A0D" w14:textId="0A6F6A9A" w:rsidR="00E302AB" w:rsidRDefault="00E302AB" w:rsidP="00E302AB">
      <w:pPr>
        <w:rPr>
          <w:rFonts w:ascii="Tahoma" w:hAnsi="Tahoma" w:cs="Tahoma"/>
          <w:sz w:val="22"/>
          <w:szCs w:val="22"/>
        </w:rPr>
      </w:pPr>
      <w:r w:rsidRPr="00E302AB">
        <w:rPr>
          <w:rFonts w:ascii="Tahoma" w:hAnsi="Tahoma" w:cs="Tahoma"/>
          <w:sz w:val="22"/>
          <w:szCs w:val="22"/>
        </w:rPr>
        <w:t xml:space="preserve">Algunas de las </w:t>
      </w:r>
      <w:r>
        <w:rPr>
          <w:rFonts w:ascii="Tahoma" w:hAnsi="Tahoma" w:cs="Tahoma"/>
          <w:sz w:val="22"/>
          <w:szCs w:val="22"/>
        </w:rPr>
        <w:t>p</w:t>
      </w:r>
      <w:r w:rsidRPr="00E302AB">
        <w:rPr>
          <w:rFonts w:ascii="Tahoma" w:hAnsi="Tahoma" w:cs="Tahoma"/>
          <w:sz w:val="22"/>
          <w:szCs w:val="22"/>
        </w:rPr>
        <w:t>reocupaciones</w:t>
      </w:r>
      <w:r>
        <w:rPr>
          <w:rFonts w:ascii="Tahoma" w:hAnsi="Tahoma" w:cs="Tahoma"/>
          <w:sz w:val="22"/>
          <w:szCs w:val="22"/>
        </w:rPr>
        <w:t xml:space="preserve"> manifestadas son: </w:t>
      </w:r>
      <w:r w:rsidRPr="00E302AB">
        <w:rPr>
          <w:rFonts w:ascii="Tahoma" w:hAnsi="Tahoma" w:cs="Tahoma"/>
          <w:sz w:val="22"/>
          <w:szCs w:val="22"/>
        </w:rPr>
        <w:t>Lentitud con la que se está desarrollando la infraestructura</w:t>
      </w:r>
      <w:r>
        <w:rPr>
          <w:rFonts w:ascii="Tahoma" w:hAnsi="Tahoma" w:cs="Tahoma"/>
          <w:sz w:val="22"/>
          <w:szCs w:val="22"/>
        </w:rPr>
        <w:t>, c</w:t>
      </w:r>
      <w:r w:rsidRPr="00E302AB">
        <w:rPr>
          <w:rFonts w:ascii="Tahoma" w:hAnsi="Tahoma" w:cs="Tahoma"/>
          <w:sz w:val="22"/>
          <w:szCs w:val="22"/>
        </w:rPr>
        <w:t>uellos botellas existentes</w:t>
      </w:r>
      <w:r>
        <w:rPr>
          <w:rFonts w:ascii="Tahoma" w:hAnsi="Tahoma" w:cs="Tahoma"/>
          <w:sz w:val="22"/>
          <w:szCs w:val="22"/>
        </w:rPr>
        <w:t>, d</w:t>
      </w:r>
      <w:r w:rsidRPr="00E302AB">
        <w:rPr>
          <w:rFonts w:ascii="Tahoma" w:hAnsi="Tahoma" w:cs="Tahoma"/>
          <w:sz w:val="22"/>
          <w:szCs w:val="22"/>
        </w:rPr>
        <w:t>ebido a la tardanza</w:t>
      </w:r>
      <w:r w:rsidR="00517BAD">
        <w:rPr>
          <w:rFonts w:ascii="Tahoma" w:hAnsi="Tahoma" w:cs="Tahoma"/>
          <w:sz w:val="22"/>
          <w:szCs w:val="22"/>
        </w:rPr>
        <w:t>,</w:t>
      </w:r>
      <w:r w:rsidRPr="00E302AB">
        <w:rPr>
          <w:rFonts w:ascii="Tahoma" w:hAnsi="Tahoma" w:cs="Tahoma"/>
          <w:sz w:val="22"/>
          <w:szCs w:val="22"/>
        </w:rPr>
        <w:t xml:space="preserve"> la infraestructura quede obsoleta</w:t>
      </w:r>
      <w:r>
        <w:rPr>
          <w:rFonts w:ascii="Tahoma" w:hAnsi="Tahoma" w:cs="Tahoma"/>
          <w:sz w:val="22"/>
          <w:szCs w:val="22"/>
        </w:rPr>
        <w:t>, y l</w:t>
      </w:r>
      <w:r w:rsidRPr="00E302AB">
        <w:rPr>
          <w:rFonts w:ascii="Tahoma" w:hAnsi="Tahoma" w:cs="Tahoma"/>
          <w:sz w:val="22"/>
          <w:szCs w:val="22"/>
        </w:rPr>
        <w:t>a lentitud de los trabajos en Francia.</w:t>
      </w:r>
    </w:p>
    <w:p w14:paraId="67854281" w14:textId="77777777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</w:p>
    <w:p w14:paraId="78006F54" w14:textId="74917035" w:rsidR="00E302AB" w:rsidRDefault="00E302AB" w:rsidP="00E302A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Y las peticiones pasan por: </w:t>
      </w:r>
      <w:r w:rsidRPr="00E302AB">
        <w:rPr>
          <w:rFonts w:ascii="Tahoma" w:hAnsi="Tahoma" w:cs="Tahoma"/>
          <w:sz w:val="22"/>
          <w:szCs w:val="22"/>
        </w:rPr>
        <w:t xml:space="preserve">Red </w:t>
      </w:r>
      <w:r>
        <w:rPr>
          <w:rFonts w:ascii="Tahoma" w:hAnsi="Tahoma" w:cs="Tahoma"/>
          <w:sz w:val="22"/>
          <w:szCs w:val="22"/>
        </w:rPr>
        <w:t>f</w:t>
      </w:r>
      <w:r w:rsidRPr="00E302AB">
        <w:rPr>
          <w:rFonts w:ascii="Tahoma" w:hAnsi="Tahoma" w:cs="Tahoma"/>
          <w:sz w:val="22"/>
          <w:szCs w:val="22"/>
        </w:rPr>
        <w:t xml:space="preserve">erroviaria de Alta Velocidad que conecte todo litoral </w:t>
      </w:r>
      <w:r>
        <w:rPr>
          <w:rFonts w:ascii="Tahoma" w:hAnsi="Tahoma" w:cs="Tahoma"/>
          <w:sz w:val="22"/>
          <w:szCs w:val="22"/>
        </w:rPr>
        <w:t>M</w:t>
      </w:r>
      <w:r w:rsidRPr="00E302AB">
        <w:rPr>
          <w:rFonts w:ascii="Tahoma" w:hAnsi="Tahoma" w:cs="Tahoma"/>
          <w:sz w:val="22"/>
          <w:szCs w:val="22"/>
        </w:rPr>
        <w:t>editerráneo</w:t>
      </w:r>
      <w:r>
        <w:rPr>
          <w:rFonts w:ascii="Tahoma" w:hAnsi="Tahoma" w:cs="Tahoma"/>
          <w:sz w:val="22"/>
          <w:szCs w:val="22"/>
        </w:rPr>
        <w:t>, a</w:t>
      </w:r>
      <w:r w:rsidRPr="00E302AB">
        <w:rPr>
          <w:rFonts w:ascii="Tahoma" w:hAnsi="Tahoma" w:cs="Tahoma"/>
          <w:sz w:val="22"/>
          <w:szCs w:val="22"/>
        </w:rPr>
        <w:t xml:space="preserve">ncho </w:t>
      </w:r>
      <w:r>
        <w:rPr>
          <w:rFonts w:ascii="Tahoma" w:hAnsi="Tahoma" w:cs="Tahoma"/>
          <w:sz w:val="22"/>
          <w:szCs w:val="22"/>
        </w:rPr>
        <w:t>i</w:t>
      </w:r>
      <w:r w:rsidRPr="00E302AB">
        <w:rPr>
          <w:rFonts w:ascii="Tahoma" w:hAnsi="Tahoma" w:cs="Tahoma"/>
          <w:sz w:val="22"/>
          <w:szCs w:val="22"/>
        </w:rPr>
        <w:t>nternacional para la conexión con Europa sin transbordos</w:t>
      </w:r>
      <w:r>
        <w:rPr>
          <w:rFonts w:ascii="Tahoma" w:hAnsi="Tahoma" w:cs="Tahoma"/>
          <w:sz w:val="22"/>
          <w:szCs w:val="22"/>
        </w:rPr>
        <w:t xml:space="preserve"> y d</w:t>
      </w:r>
      <w:r w:rsidRPr="00E302AB">
        <w:rPr>
          <w:rFonts w:ascii="Tahoma" w:hAnsi="Tahoma" w:cs="Tahoma"/>
          <w:sz w:val="22"/>
          <w:szCs w:val="22"/>
        </w:rPr>
        <w:t>oble Plataforma, una de pasajeros y otra de mercancías para garantizar la Alta Velocidad.</w:t>
      </w:r>
    </w:p>
    <w:p w14:paraId="0477AAA3" w14:textId="77777777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</w:p>
    <w:p w14:paraId="43BBD078" w14:textId="6EE4C875" w:rsidR="00E302AB" w:rsidRDefault="00E302AB" w:rsidP="00E302AB">
      <w:pPr>
        <w:rPr>
          <w:rFonts w:ascii="Tahoma" w:hAnsi="Tahoma" w:cs="Tahoma"/>
          <w:sz w:val="22"/>
          <w:szCs w:val="22"/>
        </w:rPr>
      </w:pPr>
      <w:r w:rsidRPr="00E302AB">
        <w:rPr>
          <w:rFonts w:ascii="Tahoma" w:hAnsi="Tahoma" w:cs="Tahoma"/>
          <w:sz w:val="22"/>
          <w:szCs w:val="22"/>
        </w:rPr>
        <w:t xml:space="preserve">Según </w:t>
      </w:r>
      <w:r>
        <w:rPr>
          <w:rFonts w:ascii="Tahoma" w:hAnsi="Tahoma" w:cs="Tahoma"/>
          <w:sz w:val="22"/>
          <w:szCs w:val="22"/>
        </w:rPr>
        <w:t xml:space="preserve">el </w:t>
      </w:r>
      <w:r w:rsidRPr="00E302AB">
        <w:rPr>
          <w:rFonts w:ascii="Tahoma" w:hAnsi="Tahoma" w:cs="Tahoma"/>
          <w:sz w:val="22"/>
          <w:szCs w:val="22"/>
        </w:rPr>
        <w:t>informe</w:t>
      </w:r>
      <w:r>
        <w:rPr>
          <w:rFonts w:ascii="Tahoma" w:hAnsi="Tahoma" w:cs="Tahoma"/>
          <w:sz w:val="22"/>
          <w:szCs w:val="22"/>
        </w:rPr>
        <w:t xml:space="preserve"> presentado en esta cita</w:t>
      </w:r>
      <w:r w:rsidRPr="00E302AB">
        <w:rPr>
          <w:rFonts w:ascii="Tahoma" w:hAnsi="Tahoma" w:cs="Tahoma"/>
          <w:sz w:val="22"/>
          <w:szCs w:val="22"/>
        </w:rPr>
        <w:t>, el Corredor Mediterráneo continúa avanzando en su desarrollo. En conjunto, el 36 % del trazado ya está en servicio, mientras que el 85 % se encuentra en obras, el 95 % dispone de proyecto aprobado y, lo más relevante, el 100 % del trazado está activado en alguna fase del proceso, lo que confirma que toda la infraestructura está en marcha.</w:t>
      </w:r>
    </w:p>
    <w:p w14:paraId="285F2E8E" w14:textId="77777777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</w:p>
    <w:p w14:paraId="7FC76849" w14:textId="77777777" w:rsidR="00517BAD" w:rsidRDefault="00517BAD" w:rsidP="00E302AB">
      <w:pPr>
        <w:rPr>
          <w:rFonts w:ascii="Tahoma" w:hAnsi="Tahoma" w:cs="Tahoma"/>
          <w:sz w:val="22"/>
          <w:szCs w:val="22"/>
        </w:rPr>
      </w:pPr>
    </w:p>
    <w:p w14:paraId="2579F005" w14:textId="77777777" w:rsidR="00517BAD" w:rsidRDefault="00517BAD" w:rsidP="00E302AB">
      <w:pPr>
        <w:rPr>
          <w:rFonts w:ascii="Tahoma" w:hAnsi="Tahoma" w:cs="Tahoma"/>
          <w:sz w:val="22"/>
          <w:szCs w:val="22"/>
        </w:rPr>
      </w:pPr>
    </w:p>
    <w:p w14:paraId="17395540" w14:textId="1FF8C3BD" w:rsidR="00E302AB" w:rsidRPr="00E302AB" w:rsidRDefault="00E302AB" w:rsidP="00E302AB">
      <w:pPr>
        <w:rPr>
          <w:rFonts w:ascii="Tahoma" w:hAnsi="Tahoma" w:cs="Tahoma"/>
          <w:sz w:val="22"/>
          <w:szCs w:val="22"/>
        </w:rPr>
      </w:pPr>
      <w:r w:rsidRPr="00E302AB">
        <w:rPr>
          <w:rFonts w:ascii="Tahoma" w:hAnsi="Tahoma" w:cs="Tahoma"/>
          <w:sz w:val="22"/>
          <w:szCs w:val="22"/>
        </w:rPr>
        <w:t>La importancia económica del Corredor Mediterráneo es indiscutible. Los estudios calculan que por cada euro invertido habrá un retorno de tres euros y se proyecta un impacto económico superior a los 12.000 millones de euros en 30 años una vez esté en marcha. Esta infraestructura es clave para sectores como el turismo, el agroalimentario, la cerámica, la automoción o el calzado, ya que el arco mediterráneo concentra la zona más turística y exportadora de España.</w:t>
      </w:r>
    </w:p>
    <w:p w14:paraId="0D8840EF" w14:textId="77777777" w:rsidR="00E302AB" w:rsidRDefault="00E302AB" w:rsidP="00E302AB"/>
    <w:p w14:paraId="399EEDEC" w14:textId="77777777" w:rsidR="00523892" w:rsidRDefault="00523892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523892" w:rsidSect="00702694">
      <w:headerReference w:type="default" r:id="rId8"/>
      <w:footerReference w:type="even" r:id="rId9"/>
      <w:footerReference w:type="default" r:id="rId1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973D65"/>
    <w:multiLevelType w:val="hybridMultilevel"/>
    <w:tmpl w:val="F5489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6B31FA5"/>
    <w:multiLevelType w:val="hybridMultilevel"/>
    <w:tmpl w:val="7B9465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4E2913"/>
    <w:multiLevelType w:val="hybridMultilevel"/>
    <w:tmpl w:val="F3663A88"/>
    <w:lvl w:ilvl="0" w:tplc="B0DEC2D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F808B1"/>
    <w:multiLevelType w:val="hybridMultilevel"/>
    <w:tmpl w:val="477E3036"/>
    <w:lvl w:ilvl="0" w:tplc="0C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19DE15E6"/>
    <w:multiLevelType w:val="hybridMultilevel"/>
    <w:tmpl w:val="BE5E8F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F5654"/>
    <w:multiLevelType w:val="hybridMultilevel"/>
    <w:tmpl w:val="500C3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90868F6"/>
    <w:multiLevelType w:val="hybridMultilevel"/>
    <w:tmpl w:val="F2EE1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82033A"/>
    <w:multiLevelType w:val="hybridMultilevel"/>
    <w:tmpl w:val="DC844838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7" w15:restartNumberingAfterBreak="0">
    <w:nsid w:val="534B3019"/>
    <w:multiLevelType w:val="hybridMultilevel"/>
    <w:tmpl w:val="B262E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00104"/>
    <w:multiLevelType w:val="hybridMultilevel"/>
    <w:tmpl w:val="69A8E11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7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5793E"/>
    <w:multiLevelType w:val="hybridMultilevel"/>
    <w:tmpl w:val="1214E4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E91064"/>
    <w:multiLevelType w:val="multilevel"/>
    <w:tmpl w:val="EC6E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D149A7"/>
    <w:multiLevelType w:val="hybridMultilevel"/>
    <w:tmpl w:val="98F0D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38"/>
  </w:num>
  <w:num w:numId="7" w16cid:durableId="1843736111">
    <w:abstractNumId w:val="40"/>
  </w:num>
  <w:num w:numId="8" w16cid:durableId="409886508">
    <w:abstractNumId w:val="29"/>
  </w:num>
  <w:num w:numId="9" w16cid:durableId="1850870317">
    <w:abstractNumId w:val="12"/>
  </w:num>
  <w:num w:numId="10" w16cid:durableId="481315844">
    <w:abstractNumId w:val="45"/>
  </w:num>
  <w:num w:numId="11" w16cid:durableId="1404913017">
    <w:abstractNumId w:val="43"/>
  </w:num>
  <w:num w:numId="12" w16cid:durableId="2032536381">
    <w:abstractNumId w:val="47"/>
  </w:num>
  <w:num w:numId="13" w16cid:durableId="1586182953">
    <w:abstractNumId w:val="43"/>
  </w:num>
  <w:num w:numId="14" w16cid:durableId="1287082188">
    <w:abstractNumId w:val="33"/>
  </w:num>
  <w:num w:numId="15" w16cid:durableId="46075600">
    <w:abstractNumId w:val="35"/>
  </w:num>
  <w:num w:numId="16" w16cid:durableId="1887788881">
    <w:abstractNumId w:val="8"/>
  </w:num>
  <w:num w:numId="17" w16cid:durableId="1236890953">
    <w:abstractNumId w:val="24"/>
  </w:num>
  <w:num w:numId="18" w16cid:durableId="1822190324">
    <w:abstractNumId w:val="18"/>
  </w:num>
  <w:num w:numId="19" w16cid:durableId="929974492">
    <w:abstractNumId w:val="17"/>
  </w:num>
  <w:num w:numId="20" w16cid:durableId="526212913">
    <w:abstractNumId w:val="18"/>
  </w:num>
  <w:num w:numId="21" w16cid:durableId="404181571">
    <w:abstractNumId w:val="19"/>
  </w:num>
  <w:num w:numId="22" w16cid:durableId="2026832393">
    <w:abstractNumId w:val="25"/>
  </w:num>
  <w:num w:numId="23" w16cid:durableId="406148314">
    <w:abstractNumId w:val="10"/>
  </w:num>
  <w:num w:numId="24" w16cid:durableId="1650748620">
    <w:abstractNumId w:val="32"/>
  </w:num>
  <w:num w:numId="25" w16cid:durableId="182330063">
    <w:abstractNumId w:val="34"/>
  </w:num>
  <w:num w:numId="26" w16cid:durableId="1674647086">
    <w:abstractNumId w:val="11"/>
  </w:num>
  <w:num w:numId="27" w16cid:durableId="1781608534">
    <w:abstractNumId w:val="46"/>
  </w:num>
  <w:num w:numId="28" w16cid:durableId="16856855">
    <w:abstractNumId w:val="21"/>
  </w:num>
  <w:num w:numId="29" w16cid:durableId="1690445344">
    <w:abstractNumId w:val="31"/>
  </w:num>
  <w:num w:numId="30" w16cid:durableId="913007284">
    <w:abstractNumId w:val="23"/>
  </w:num>
  <w:num w:numId="31" w16cid:durableId="175072690">
    <w:abstractNumId w:val="41"/>
  </w:num>
  <w:num w:numId="32" w16cid:durableId="656032054">
    <w:abstractNumId w:val="14"/>
  </w:num>
  <w:num w:numId="33" w16cid:durableId="1038581738">
    <w:abstractNumId w:val="42"/>
  </w:num>
  <w:num w:numId="34" w16cid:durableId="1825002687">
    <w:abstractNumId w:val="30"/>
  </w:num>
  <w:num w:numId="35" w16cid:durableId="1988853362">
    <w:abstractNumId w:val="27"/>
  </w:num>
  <w:num w:numId="36" w16cid:durableId="1338145146">
    <w:abstractNumId w:val="7"/>
  </w:num>
  <w:num w:numId="37" w16cid:durableId="1996257553">
    <w:abstractNumId w:val="44"/>
  </w:num>
  <w:num w:numId="38" w16cid:durableId="495918836">
    <w:abstractNumId w:val="20"/>
  </w:num>
  <w:num w:numId="39" w16cid:durableId="527372304">
    <w:abstractNumId w:val="39"/>
  </w:num>
  <w:num w:numId="40" w16cid:durableId="733504500">
    <w:abstractNumId w:val="26"/>
  </w:num>
  <w:num w:numId="41" w16cid:durableId="1480149013">
    <w:abstractNumId w:val="16"/>
  </w:num>
  <w:num w:numId="42" w16cid:durableId="1007831580">
    <w:abstractNumId w:val="48"/>
  </w:num>
  <w:num w:numId="43" w16cid:durableId="1218124459">
    <w:abstractNumId w:val="13"/>
  </w:num>
  <w:num w:numId="44" w16cid:durableId="2037192994">
    <w:abstractNumId w:val="37"/>
  </w:num>
  <w:num w:numId="45" w16cid:durableId="38437670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 w16cid:durableId="1095784938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14767449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1087187785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74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742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3069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2025-11-25T16:26:00Z</dcterms:created>
  <dcterms:modified xsi:type="dcterms:W3CDTF">2025-11-25T16:26:00Z</dcterms:modified>
</cp:coreProperties>
</file>