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36FA4D1" w14:textId="49DDA49E" w:rsidR="00472E80" w:rsidRDefault="001F50EA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  <w:r w:rsidRPr="00517BAD">
        <w:rPr>
          <w:rFonts w:ascii="Tahoma" w:hAnsi="Tahoma" w:cs="Tahoma"/>
          <w:bCs/>
          <w:sz w:val="22"/>
          <w:szCs w:val="22"/>
        </w:rPr>
        <w:t xml:space="preserve">Albacete, </w:t>
      </w:r>
      <w:r w:rsidR="00B108EA">
        <w:rPr>
          <w:rFonts w:ascii="Tahoma" w:hAnsi="Tahoma" w:cs="Tahoma"/>
          <w:bCs/>
          <w:sz w:val="22"/>
          <w:szCs w:val="22"/>
        </w:rPr>
        <w:t>2</w:t>
      </w:r>
      <w:r w:rsidR="00396D71">
        <w:rPr>
          <w:rFonts w:ascii="Tahoma" w:hAnsi="Tahoma" w:cs="Tahoma"/>
          <w:bCs/>
          <w:sz w:val="22"/>
          <w:szCs w:val="22"/>
        </w:rPr>
        <w:t>6</w:t>
      </w:r>
      <w:r w:rsidRPr="00517BAD">
        <w:rPr>
          <w:rFonts w:ascii="Tahoma" w:hAnsi="Tahoma" w:cs="Tahoma"/>
          <w:bCs/>
          <w:sz w:val="22"/>
          <w:szCs w:val="22"/>
        </w:rPr>
        <w:t xml:space="preserve"> de </w:t>
      </w:r>
      <w:r w:rsidR="00B108EA">
        <w:rPr>
          <w:rFonts w:ascii="Tahoma" w:hAnsi="Tahoma" w:cs="Tahoma"/>
          <w:bCs/>
          <w:sz w:val="22"/>
          <w:szCs w:val="22"/>
        </w:rPr>
        <w:t xml:space="preserve">enero </w:t>
      </w:r>
      <w:r w:rsidRPr="00517BAD">
        <w:rPr>
          <w:rFonts w:ascii="Tahoma" w:hAnsi="Tahoma" w:cs="Tahoma"/>
          <w:bCs/>
          <w:sz w:val="22"/>
          <w:szCs w:val="22"/>
        </w:rPr>
        <w:t>de 202</w:t>
      </w:r>
      <w:r w:rsidR="00B108EA">
        <w:rPr>
          <w:rFonts w:ascii="Tahoma" w:hAnsi="Tahoma" w:cs="Tahoma"/>
          <w:bCs/>
          <w:sz w:val="22"/>
          <w:szCs w:val="22"/>
        </w:rPr>
        <w:t>6</w:t>
      </w:r>
    </w:p>
    <w:p w14:paraId="5180B77D" w14:textId="77777777" w:rsidR="0017619B" w:rsidRDefault="0017619B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E173441" w14:textId="03146399" w:rsidR="00B108EA" w:rsidRDefault="00B108EA" w:rsidP="00B108EA">
      <w:pPr>
        <w:shd w:val="clear" w:color="auto" w:fill="FFFFFF" w:themeFill="background1"/>
        <w:spacing w:beforeAutospacing="1" w:after="455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FEDA</w:t>
      </w:r>
      <w:r w:rsidRPr="00B108EA">
        <w:rPr>
          <w:rFonts w:ascii="Tahoma" w:hAnsi="Tahoma" w:cs="Tahoma"/>
          <w:b/>
          <w:bCs/>
          <w:sz w:val="32"/>
          <w:szCs w:val="32"/>
        </w:rPr>
        <w:t xml:space="preserve"> celebra una jornada sobre soluciones eficientes y competitivas para la descarbonización en los sectores de la construcción y la vivienda</w:t>
      </w:r>
    </w:p>
    <w:p w14:paraId="15EB2A08" w14:textId="4B3B9294" w:rsidR="00B108EA" w:rsidRPr="00B108EA" w:rsidRDefault="00B108EA" w:rsidP="00B11E25">
      <w:pPr>
        <w:pStyle w:val="Prrafodelista"/>
        <w:numPr>
          <w:ilvl w:val="0"/>
          <w:numId w:val="10"/>
        </w:numPr>
        <w:shd w:val="clear" w:color="auto" w:fill="FFFFFF" w:themeFill="background1"/>
        <w:spacing w:beforeAutospacing="1" w:after="455" w:line="240" w:lineRule="auto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La convocatoria tendrá lugar este jueves, día 29 de enero, con la colaboración de Iberdrola y CECAM, a partir de las 10,30 horas</w:t>
      </w:r>
    </w:p>
    <w:p w14:paraId="1EF4DDB0" w14:textId="5A71D7EE" w:rsidR="00B108EA" w:rsidRPr="00B108EA" w:rsidRDefault="00B108EA" w:rsidP="00B108EA">
      <w:pPr>
        <w:rPr>
          <w:rFonts w:ascii="Tahoma" w:eastAsia="Arial" w:hAnsi="Tahoma" w:cs="Tahoma"/>
          <w:sz w:val="22"/>
          <w:szCs w:val="22"/>
        </w:rPr>
      </w:pPr>
      <w:hyperlink r:id="rId8" w:history="1">
        <w:r w:rsidRPr="00B11E25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>
        <w:rPr>
          <w:rFonts w:ascii="Tahoma" w:hAnsi="Tahoma" w:cs="Tahoma"/>
          <w:sz w:val="22"/>
          <w:szCs w:val="22"/>
        </w:rPr>
        <w:t xml:space="preserve"> tiene convocada para </w:t>
      </w:r>
      <w:r w:rsidRPr="00B108EA">
        <w:rPr>
          <w:rFonts w:ascii="Tahoma" w:eastAsia="Arial" w:hAnsi="Tahoma" w:cs="Tahoma"/>
          <w:sz w:val="22"/>
          <w:szCs w:val="22"/>
        </w:rPr>
        <w:t>e</w:t>
      </w:r>
      <w:r>
        <w:rPr>
          <w:rFonts w:ascii="Tahoma" w:eastAsia="Arial" w:hAnsi="Tahoma" w:cs="Tahoma"/>
          <w:sz w:val="22"/>
          <w:szCs w:val="22"/>
        </w:rPr>
        <w:t>ste</w:t>
      </w:r>
      <w:r w:rsidRPr="00B108EA">
        <w:rPr>
          <w:rFonts w:ascii="Tahoma" w:eastAsia="Arial" w:hAnsi="Tahoma" w:cs="Tahoma"/>
          <w:sz w:val="22"/>
          <w:szCs w:val="22"/>
        </w:rPr>
        <w:t xml:space="preserve"> próximo jueves</w:t>
      </w:r>
      <w:r>
        <w:rPr>
          <w:rFonts w:ascii="Tahoma" w:eastAsia="Arial" w:hAnsi="Tahoma" w:cs="Tahoma"/>
          <w:sz w:val="22"/>
          <w:szCs w:val="22"/>
        </w:rPr>
        <w:t>, día</w:t>
      </w:r>
      <w:r w:rsidRPr="00B108EA">
        <w:rPr>
          <w:rFonts w:ascii="Tahoma" w:eastAsia="Arial" w:hAnsi="Tahoma" w:cs="Tahoma"/>
          <w:sz w:val="22"/>
          <w:szCs w:val="22"/>
        </w:rPr>
        <w:t xml:space="preserve"> 29 de enero, a las 10:30 horas, la jornada denominada </w:t>
      </w:r>
      <w:hyperlink r:id="rId9" w:history="1">
        <w:r w:rsidRPr="00B11E25">
          <w:rPr>
            <w:rStyle w:val="Hipervnculo"/>
            <w:rFonts w:ascii="Tahoma" w:eastAsia="Arial" w:hAnsi="Tahoma" w:cs="Tahoma"/>
            <w:sz w:val="22"/>
            <w:szCs w:val="22"/>
          </w:rPr>
          <w:t>“Soluciones eficientes y competitivas a la descarbonización: sectores de la construcción y la vivienda”</w:t>
        </w:r>
      </w:hyperlink>
      <w:r w:rsidRPr="00B108EA">
        <w:rPr>
          <w:rFonts w:ascii="Tahoma" w:eastAsia="Arial" w:hAnsi="Tahoma" w:cs="Tahoma"/>
          <w:sz w:val="22"/>
          <w:szCs w:val="22"/>
        </w:rPr>
        <w:t>,</w:t>
      </w:r>
      <w:r>
        <w:rPr>
          <w:rFonts w:ascii="Tahoma" w:eastAsia="Arial" w:hAnsi="Tahoma" w:cs="Tahoma"/>
          <w:sz w:val="22"/>
          <w:szCs w:val="22"/>
        </w:rPr>
        <w:t xml:space="preserve"> con el patrocinio de </w:t>
      </w:r>
      <w:hyperlink r:id="rId10" w:history="1">
        <w:r w:rsidRPr="00852C5D">
          <w:rPr>
            <w:rStyle w:val="Hipervnculo"/>
            <w:rFonts w:ascii="Tahoma" w:eastAsia="Arial" w:hAnsi="Tahoma" w:cs="Tahoma"/>
            <w:sz w:val="22"/>
            <w:szCs w:val="22"/>
          </w:rPr>
          <w:t>Iberdrola</w:t>
        </w:r>
      </w:hyperlink>
      <w:r>
        <w:rPr>
          <w:rFonts w:ascii="Tahoma" w:eastAsia="Arial" w:hAnsi="Tahoma" w:cs="Tahoma"/>
          <w:sz w:val="22"/>
          <w:szCs w:val="22"/>
        </w:rPr>
        <w:t xml:space="preserve"> y la colaboración de </w:t>
      </w:r>
      <w:hyperlink r:id="rId11" w:history="1">
        <w:r w:rsidRPr="00514A12">
          <w:rPr>
            <w:rStyle w:val="Hipervnculo"/>
            <w:rFonts w:ascii="Tahoma" w:eastAsia="Arial" w:hAnsi="Tahoma" w:cs="Tahoma"/>
            <w:sz w:val="22"/>
            <w:szCs w:val="22"/>
          </w:rPr>
          <w:t>CECAM</w:t>
        </w:r>
      </w:hyperlink>
      <w:r w:rsidRPr="00B108EA">
        <w:rPr>
          <w:rFonts w:ascii="Tahoma" w:eastAsia="Arial" w:hAnsi="Tahoma" w:cs="Tahoma"/>
          <w:sz w:val="22"/>
          <w:szCs w:val="22"/>
        </w:rPr>
        <w:t>.</w:t>
      </w:r>
    </w:p>
    <w:p w14:paraId="32E97B23" w14:textId="77777777" w:rsidR="00B108EA" w:rsidRPr="00B108EA" w:rsidRDefault="00B108EA" w:rsidP="00B108EA">
      <w:pPr>
        <w:rPr>
          <w:rFonts w:ascii="Tahoma" w:hAnsi="Tahoma" w:cs="Tahoma"/>
          <w:sz w:val="22"/>
          <w:szCs w:val="22"/>
        </w:rPr>
      </w:pPr>
    </w:p>
    <w:p w14:paraId="4225AB28" w14:textId="1DD6EB84" w:rsidR="00B108EA" w:rsidRPr="00B108EA" w:rsidRDefault="00B108EA" w:rsidP="00B108EA">
      <w:pPr>
        <w:rPr>
          <w:rFonts w:ascii="Tahoma" w:eastAsia="Arial" w:hAnsi="Tahoma" w:cs="Tahoma"/>
          <w:sz w:val="22"/>
          <w:szCs w:val="22"/>
        </w:rPr>
      </w:pPr>
      <w:r w:rsidRPr="00B108EA">
        <w:rPr>
          <w:rFonts w:ascii="Tahoma" w:hAnsi="Tahoma" w:cs="Tahoma"/>
          <w:sz w:val="22"/>
          <w:szCs w:val="22"/>
        </w:rPr>
        <w:t xml:space="preserve">La </w:t>
      </w:r>
      <w:r>
        <w:rPr>
          <w:rFonts w:ascii="Tahoma" w:hAnsi="Tahoma" w:cs="Tahoma"/>
          <w:sz w:val="22"/>
          <w:szCs w:val="22"/>
        </w:rPr>
        <w:t xml:space="preserve">jornada </w:t>
      </w:r>
      <w:r w:rsidRPr="00B108EA">
        <w:rPr>
          <w:rFonts w:ascii="Tahoma" w:hAnsi="Tahoma" w:cs="Tahoma"/>
          <w:sz w:val="22"/>
          <w:szCs w:val="22"/>
        </w:rPr>
        <w:t xml:space="preserve">tiene como objetivo principal  </w:t>
      </w:r>
      <w:r w:rsidRPr="00B108EA">
        <w:rPr>
          <w:rFonts w:ascii="Tahoma" w:eastAsia="Arial" w:hAnsi="Tahoma" w:cs="Tahoma"/>
          <w:sz w:val="22"/>
          <w:szCs w:val="22"/>
        </w:rPr>
        <w:t>difundir entre las empresas distintas soluciones que contribuyen a la descarbonización de las instalaciones y a la reducción de las emisiones de gases de efecto invernadero, en línea con los compromisos establecidos para los horizontes 2030 y 2050.</w:t>
      </w:r>
    </w:p>
    <w:p w14:paraId="3A23F546" w14:textId="77777777" w:rsidR="00B108EA" w:rsidRPr="00B108EA" w:rsidRDefault="00B108EA" w:rsidP="00B108EA">
      <w:pPr>
        <w:rPr>
          <w:rFonts w:ascii="Tahoma" w:hAnsi="Tahoma" w:cs="Tahoma"/>
          <w:sz w:val="22"/>
          <w:szCs w:val="22"/>
        </w:rPr>
      </w:pPr>
    </w:p>
    <w:p w14:paraId="10854CCF" w14:textId="77777777" w:rsidR="00B108EA" w:rsidRPr="00B108EA" w:rsidRDefault="00B108EA" w:rsidP="00B108EA">
      <w:pPr>
        <w:rPr>
          <w:rFonts w:ascii="Tahoma" w:eastAsia="Arial" w:hAnsi="Tahoma" w:cs="Tahoma"/>
          <w:sz w:val="22"/>
          <w:szCs w:val="22"/>
        </w:rPr>
      </w:pPr>
      <w:r w:rsidRPr="00B108EA">
        <w:rPr>
          <w:rFonts w:ascii="Tahoma" w:eastAsia="Arial" w:hAnsi="Tahoma" w:cs="Tahoma"/>
          <w:sz w:val="22"/>
          <w:szCs w:val="22"/>
        </w:rPr>
        <w:t>Durante el encuentro se abordarán cuestiones clave como la falta de capacidad en las redes eléctricas, así como las ayudas a la inversión que pueden obtener las empresas a través de la gestión de los Certificados de Ahorro Energético (CAEs). Asimismo, se presentarán casos de éxito de instalaciones reales, en los que se han logrado importantes ahorros energéticos y económicos, demostrando la viabilidad y competitividad de estas soluciones.</w:t>
      </w:r>
    </w:p>
    <w:p w14:paraId="64E05486" w14:textId="77777777" w:rsidR="00B108EA" w:rsidRPr="00B108EA" w:rsidRDefault="00B108EA" w:rsidP="00B108EA">
      <w:pPr>
        <w:rPr>
          <w:rFonts w:ascii="Tahoma" w:eastAsia="Arial" w:hAnsi="Tahoma" w:cs="Tahoma"/>
          <w:sz w:val="22"/>
          <w:szCs w:val="22"/>
        </w:rPr>
      </w:pPr>
    </w:p>
    <w:p w14:paraId="0D1782C8" w14:textId="77777777" w:rsidR="00B108EA" w:rsidRPr="00B108EA" w:rsidRDefault="00B108EA" w:rsidP="00B108EA">
      <w:pPr>
        <w:rPr>
          <w:rFonts w:ascii="Tahoma" w:eastAsia="Arial" w:hAnsi="Tahoma" w:cs="Tahoma"/>
          <w:sz w:val="22"/>
          <w:szCs w:val="22"/>
        </w:rPr>
      </w:pPr>
      <w:r w:rsidRPr="00B108EA">
        <w:rPr>
          <w:rFonts w:ascii="Tahoma" w:eastAsia="Arial" w:hAnsi="Tahoma" w:cs="Tahoma"/>
          <w:sz w:val="22"/>
          <w:szCs w:val="22"/>
        </w:rPr>
        <w:t>La descarbonización, entendida como el proceso de reducción de emisiones de carbono —principalmente dióxido de carbono (CO₂)— derivadas del uso de combustibles fósiles, constituye uno de los pilares fundamentales de la transición energética. Su finalidad es avanzar hacia una economía baja en emisiones y alcanzar la neutralidad climática, objetivos en los que los sectores de la construcción y la vivienda desempeñan un papel estratégico.</w:t>
      </w:r>
    </w:p>
    <w:p w14:paraId="5A00EDEC" w14:textId="77777777" w:rsidR="00B108EA" w:rsidRPr="00B108EA" w:rsidRDefault="00B108EA" w:rsidP="00B108EA">
      <w:pPr>
        <w:rPr>
          <w:rFonts w:ascii="Tahoma" w:eastAsia="Arial" w:hAnsi="Tahoma" w:cs="Tahoma"/>
          <w:sz w:val="22"/>
          <w:szCs w:val="22"/>
        </w:rPr>
      </w:pPr>
    </w:p>
    <w:p w14:paraId="70B46A92" w14:textId="36835E78" w:rsidR="00B108EA" w:rsidRDefault="00B108EA" w:rsidP="00B108EA">
      <w:pPr>
        <w:rPr>
          <w:rFonts w:ascii="Tahoma" w:eastAsia="Arial" w:hAnsi="Tahoma" w:cs="Tahoma"/>
          <w:sz w:val="22"/>
          <w:szCs w:val="22"/>
        </w:rPr>
      </w:pPr>
      <w:r w:rsidRPr="00B108EA">
        <w:rPr>
          <w:rFonts w:ascii="Tahoma" w:eastAsia="Arial" w:hAnsi="Tahoma" w:cs="Tahoma"/>
          <w:sz w:val="22"/>
          <w:szCs w:val="22"/>
        </w:rPr>
        <w:t>A través de esta jornada, FEDA refuerza su compromiso con la sostenibilidad, la eficiencia energética y la competitividad empresarial, promoviendo el uso de energías renovables, la mejora de la eficiencia en las instalaciones y el conocimiento de herramientas que faciliten la adaptación del tejido empresarial a los nuevos retos energéticos y medioambientales.</w:t>
      </w:r>
    </w:p>
    <w:p w14:paraId="616F304E" w14:textId="77777777" w:rsidR="00514A12" w:rsidRDefault="00514A12" w:rsidP="00B108EA">
      <w:pPr>
        <w:rPr>
          <w:rFonts w:ascii="Tahoma" w:eastAsia="Arial" w:hAnsi="Tahoma" w:cs="Tahoma"/>
          <w:sz w:val="22"/>
          <w:szCs w:val="22"/>
        </w:rPr>
      </w:pPr>
    </w:p>
    <w:p w14:paraId="34167F1C" w14:textId="77777777" w:rsidR="00B108EA" w:rsidRDefault="00B108EA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B108EA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17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15"/>
  </w:num>
  <w:num w:numId="7" w16cid:durableId="1926962102">
    <w:abstractNumId w:val="11"/>
  </w:num>
  <w:num w:numId="8" w16cid:durableId="72899282">
    <w:abstractNumId w:val="6"/>
  </w:num>
  <w:num w:numId="9" w16cid:durableId="659119048">
    <w:abstractNumId w:val="13"/>
  </w:num>
  <w:num w:numId="10" w16cid:durableId="815953539">
    <w:abstractNumId w:val="12"/>
  </w:num>
  <w:num w:numId="11" w16cid:durableId="551236868">
    <w:abstractNumId w:val="16"/>
  </w:num>
  <w:num w:numId="12" w16cid:durableId="1093670130">
    <w:abstractNumId w:val="9"/>
  </w:num>
  <w:num w:numId="13" w16cid:durableId="769813144">
    <w:abstractNumId w:val="10"/>
  </w:num>
  <w:num w:numId="14" w16cid:durableId="312762647">
    <w:abstractNumId w:val="8"/>
  </w:num>
  <w:num w:numId="15" w16cid:durableId="282611829">
    <w:abstractNumId w:val="18"/>
  </w:num>
  <w:num w:numId="16" w16cid:durableId="1149633476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474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71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5D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9E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6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iberdrolaespana.com/conocenos/lineas-negocio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component/chronoforms5/?chronoform=fb-622-soluciones-eficient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2350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2024-11-15T09:28:00Z</cp:lastPrinted>
  <dcterms:created xsi:type="dcterms:W3CDTF">2026-01-26T10:28:00Z</dcterms:created>
  <dcterms:modified xsi:type="dcterms:W3CDTF">2026-01-26T10:45:00Z</dcterms:modified>
</cp:coreProperties>
</file>