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736FA4D1" w14:textId="318AC5B5" w:rsidR="00472E80" w:rsidRDefault="001F50EA" w:rsidP="00A10560">
      <w:pPr>
        <w:suppressAutoHyphens/>
        <w:ind w:right="-142" w:hanging="284"/>
        <w:jc w:val="right"/>
        <w:rPr>
          <w:rFonts w:ascii="Tahoma" w:hAnsi="Tahoma" w:cs="Tahoma"/>
          <w:bCs/>
          <w:sz w:val="22"/>
          <w:szCs w:val="22"/>
        </w:rPr>
      </w:pPr>
      <w:r w:rsidRPr="00517BAD">
        <w:rPr>
          <w:rFonts w:ascii="Tahoma" w:hAnsi="Tahoma" w:cs="Tahoma"/>
          <w:bCs/>
          <w:sz w:val="22"/>
          <w:szCs w:val="22"/>
        </w:rPr>
        <w:t xml:space="preserve">Albacete, </w:t>
      </w:r>
      <w:r w:rsidR="00B108EA">
        <w:rPr>
          <w:rFonts w:ascii="Tahoma" w:hAnsi="Tahoma" w:cs="Tahoma"/>
          <w:bCs/>
          <w:sz w:val="22"/>
          <w:szCs w:val="22"/>
        </w:rPr>
        <w:t>2</w:t>
      </w:r>
      <w:r w:rsidR="00611DF6">
        <w:rPr>
          <w:rFonts w:ascii="Tahoma" w:hAnsi="Tahoma" w:cs="Tahoma"/>
          <w:bCs/>
          <w:sz w:val="22"/>
          <w:szCs w:val="22"/>
        </w:rPr>
        <w:t>8</w:t>
      </w:r>
      <w:r w:rsidRPr="00517BAD">
        <w:rPr>
          <w:rFonts w:ascii="Tahoma" w:hAnsi="Tahoma" w:cs="Tahoma"/>
          <w:bCs/>
          <w:sz w:val="22"/>
          <w:szCs w:val="22"/>
        </w:rPr>
        <w:t xml:space="preserve"> de </w:t>
      </w:r>
      <w:r w:rsidR="00B108EA">
        <w:rPr>
          <w:rFonts w:ascii="Tahoma" w:hAnsi="Tahoma" w:cs="Tahoma"/>
          <w:bCs/>
          <w:sz w:val="22"/>
          <w:szCs w:val="22"/>
        </w:rPr>
        <w:t xml:space="preserve">enero </w:t>
      </w:r>
      <w:r w:rsidRPr="00517BAD">
        <w:rPr>
          <w:rFonts w:ascii="Tahoma" w:hAnsi="Tahoma" w:cs="Tahoma"/>
          <w:bCs/>
          <w:sz w:val="22"/>
          <w:szCs w:val="22"/>
        </w:rPr>
        <w:t>de 202</w:t>
      </w:r>
      <w:r w:rsidR="00B108EA">
        <w:rPr>
          <w:rFonts w:ascii="Tahoma" w:hAnsi="Tahoma" w:cs="Tahoma"/>
          <w:bCs/>
          <w:sz w:val="22"/>
          <w:szCs w:val="22"/>
        </w:rPr>
        <w:t>6</w:t>
      </w:r>
    </w:p>
    <w:p w14:paraId="3C079AC3" w14:textId="77777777" w:rsidR="00611DF6" w:rsidRDefault="00611DF6" w:rsidP="00A10560">
      <w:pPr>
        <w:suppressAutoHyphens/>
        <w:ind w:right="-142" w:hanging="284"/>
        <w:jc w:val="right"/>
        <w:rPr>
          <w:rFonts w:ascii="Tahoma" w:hAnsi="Tahoma" w:cs="Tahoma"/>
          <w:bCs/>
          <w:sz w:val="22"/>
          <w:szCs w:val="22"/>
        </w:rPr>
      </w:pPr>
    </w:p>
    <w:p w14:paraId="5C1600C5" w14:textId="77777777" w:rsidR="00611DF6" w:rsidRDefault="00611DF6" w:rsidP="00A10560">
      <w:pPr>
        <w:suppressAutoHyphens/>
        <w:ind w:right="-142" w:hanging="284"/>
        <w:jc w:val="right"/>
        <w:rPr>
          <w:rFonts w:ascii="Tahoma" w:hAnsi="Tahoma" w:cs="Tahoma"/>
          <w:bCs/>
          <w:sz w:val="22"/>
          <w:szCs w:val="22"/>
        </w:rPr>
      </w:pPr>
    </w:p>
    <w:p w14:paraId="51FD26A1" w14:textId="252F6C3E" w:rsidR="00611DF6" w:rsidRDefault="008F47B3" w:rsidP="00611DF6">
      <w:pPr>
        <w:suppressAutoHyphens/>
        <w:ind w:right="-142" w:hanging="284"/>
        <w:jc w:val="center"/>
        <w:rPr>
          <w:rFonts w:ascii="Tahoma" w:hAnsi="Tahoma" w:cs="Tahoma"/>
          <w:b/>
          <w:sz w:val="32"/>
          <w:szCs w:val="32"/>
        </w:rPr>
      </w:pPr>
      <w:r>
        <w:rPr>
          <w:rFonts w:ascii="Tahoma" w:hAnsi="Tahoma" w:cs="Tahoma"/>
          <w:b/>
          <w:sz w:val="32"/>
          <w:szCs w:val="32"/>
        </w:rPr>
        <w:t>E</w:t>
      </w:r>
      <w:r w:rsidR="00611DF6" w:rsidRPr="00611DF6">
        <w:rPr>
          <w:rFonts w:ascii="Tahoma" w:hAnsi="Tahoma" w:cs="Tahoma"/>
          <w:b/>
          <w:sz w:val="32"/>
          <w:szCs w:val="32"/>
        </w:rPr>
        <w:t>mpresas</w:t>
      </w:r>
      <w:r>
        <w:rPr>
          <w:rFonts w:ascii="Tahoma" w:hAnsi="Tahoma" w:cs="Tahoma"/>
          <w:b/>
          <w:sz w:val="32"/>
          <w:szCs w:val="32"/>
        </w:rPr>
        <w:t xml:space="preserve"> y profesionales</w:t>
      </w:r>
      <w:r w:rsidR="00611DF6" w:rsidRPr="00611DF6">
        <w:rPr>
          <w:rFonts w:ascii="Tahoma" w:hAnsi="Tahoma" w:cs="Tahoma"/>
          <w:b/>
          <w:sz w:val="32"/>
          <w:szCs w:val="32"/>
        </w:rPr>
        <w:t xml:space="preserve"> se dan cita mañana en la jornada de FEDA e Iberdrola sobre soluciones a la descarbonización</w:t>
      </w:r>
    </w:p>
    <w:p w14:paraId="1DE2A3EC" w14:textId="77777777" w:rsidR="00611DF6" w:rsidRDefault="00611DF6" w:rsidP="00611DF6">
      <w:pPr>
        <w:suppressAutoHyphens/>
        <w:ind w:right="-142" w:hanging="284"/>
        <w:jc w:val="center"/>
        <w:rPr>
          <w:rFonts w:ascii="Tahoma" w:hAnsi="Tahoma" w:cs="Tahoma"/>
          <w:b/>
          <w:sz w:val="32"/>
          <w:szCs w:val="32"/>
        </w:rPr>
      </w:pPr>
    </w:p>
    <w:p w14:paraId="04994E73" w14:textId="2CA3A2BE" w:rsidR="00611DF6" w:rsidRPr="00611DF6" w:rsidRDefault="00611DF6" w:rsidP="00611DF6">
      <w:pPr>
        <w:pStyle w:val="Prrafodelista"/>
        <w:numPr>
          <w:ilvl w:val="0"/>
          <w:numId w:val="17"/>
        </w:numPr>
        <w:suppressAutoHyphens/>
        <w:spacing w:line="240" w:lineRule="auto"/>
        <w:ind w:right="-142"/>
        <w:jc w:val="center"/>
        <w:rPr>
          <w:rFonts w:ascii="Tahoma" w:hAnsi="Tahoma" w:cs="Tahoma"/>
          <w:b/>
          <w:szCs w:val="24"/>
        </w:rPr>
      </w:pPr>
      <w:r>
        <w:rPr>
          <w:rFonts w:ascii="Tahoma" w:hAnsi="Tahoma" w:cs="Tahoma"/>
          <w:b/>
          <w:szCs w:val="24"/>
        </w:rPr>
        <w:t xml:space="preserve">Desde las empresas de construcción, con APECA, hasta los fontaneros y calefactores, con AFONCALBA, </w:t>
      </w:r>
      <w:r w:rsidR="00220EDD">
        <w:rPr>
          <w:rFonts w:ascii="Tahoma" w:hAnsi="Tahoma" w:cs="Tahoma"/>
          <w:b/>
          <w:szCs w:val="24"/>
        </w:rPr>
        <w:t xml:space="preserve">y los instaladores con APIET, </w:t>
      </w:r>
      <w:r>
        <w:rPr>
          <w:rFonts w:ascii="Tahoma" w:hAnsi="Tahoma" w:cs="Tahoma"/>
          <w:b/>
          <w:szCs w:val="24"/>
        </w:rPr>
        <w:t xml:space="preserve">pasando por aparejadores, arquitectos y empresas con casos de éxito, junto a </w:t>
      </w:r>
      <w:r w:rsidR="00220EDD">
        <w:rPr>
          <w:rFonts w:ascii="Tahoma" w:hAnsi="Tahoma" w:cs="Tahoma"/>
          <w:b/>
          <w:szCs w:val="24"/>
        </w:rPr>
        <w:t xml:space="preserve">la </w:t>
      </w:r>
      <w:r>
        <w:rPr>
          <w:rFonts w:ascii="Tahoma" w:hAnsi="Tahoma" w:cs="Tahoma"/>
          <w:b/>
          <w:szCs w:val="24"/>
        </w:rPr>
        <w:t>Dirección General de la Vivienda del Gobierno regional</w:t>
      </w:r>
    </w:p>
    <w:p w14:paraId="5180B77D" w14:textId="77777777" w:rsidR="0017619B" w:rsidRDefault="0017619B" w:rsidP="00A10560">
      <w:pPr>
        <w:suppressAutoHyphens/>
        <w:ind w:right="-142" w:hanging="284"/>
        <w:jc w:val="right"/>
        <w:rPr>
          <w:rFonts w:ascii="Tahoma" w:hAnsi="Tahoma" w:cs="Tahoma"/>
          <w:bCs/>
          <w:sz w:val="22"/>
          <w:szCs w:val="22"/>
        </w:rPr>
      </w:pPr>
    </w:p>
    <w:p w14:paraId="3F9AF3EA" w14:textId="4135D1E5" w:rsidR="00611DF6" w:rsidRPr="00F950B2" w:rsidRDefault="00F950B2" w:rsidP="00611DF6">
      <w:pPr>
        <w:rPr>
          <w:rFonts w:ascii="Tahoma" w:eastAsia="Arial" w:hAnsi="Tahoma" w:cs="Tahoma"/>
          <w:sz w:val="22"/>
          <w:szCs w:val="22"/>
        </w:rPr>
      </w:pPr>
      <w:r>
        <w:rPr>
          <w:rFonts w:ascii="Tahoma" w:eastAsia="Arial" w:hAnsi="Tahoma" w:cs="Tahoma"/>
          <w:sz w:val="22"/>
          <w:szCs w:val="22"/>
        </w:rPr>
        <w:t xml:space="preserve">El inicio </w:t>
      </w:r>
      <w:r w:rsidR="00611DF6" w:rsidRPr="00F950B2">
        <w:rPr>
          <w:rFonts w:ascii="Tahoma" w:eastAsia="Arial" w:hAnsi="Tahoma" w:cs="Tahoma"/>
          <w:sz w:val="22"/>
          <w:szCs w:val="22"/>
        </w:rPr>
        <w:t xml:space="preserve">de la jornada </w:t>
      </w:r>
      <w:r w:rsidR="00611DF6" w:rsidRPr="00F950B2">
        <w:rPr>
          <w:rFonts w:ascii="Tahoma" w:eastAsia="Arial" w:hAnsi="Tahoma" w:cs="Tahoma"/>
          <w:sz w:val="22"/>
          <w:szCs w:val="22"/>
        </w:rPr>
        <w:t xml:space="preserve">en FEDA mañana jueves, día 29 de enero, a las 10,30 horas, </w:t>
      </w:r>
      <w:r w:rsidR="00611DF6" w:rsidRPr="00F950B2">
        <w:rPr>
          <w:rFonts w:ascii="Tahoma" w:eastAsia="Arial" w:hAnsi="Tahoma" w:cs="Tahoma"/>
          <w:sz w:val="22"/>
          <w:szCs w:val="22"/>
        </w:rPr>
        <w:t>contará con la presencia de la directora general de Vivienda</w:t>
      </w:r>
      <w:r w:rsidR="00611DF6" w:rsidRPr="00F950B2">
        <w:rPr>
          <w:rFonts w:ascii="Tahoma" w:eastAsia="Arial" w:hAnsi="Tahoma" w:cs="Tahoma"/>
          <w:sz w:val="22"/>
          <w:szCs w:val="22"/>
        </w:rPr>
        <w:t xml:space="preserve"> del Gobierno regional, Salu García Alfaro,</w:t>
      </w:r>
      <w:r w:rsidR="00611DF6" w:rsidRPr="00F950B2">
        <w:rPr>
          <w:rFonts w:ascii="Tahoma" w:eastAsia="Arial" w:hAnsi="Tahoma" w:cs="Tahoma"/>
          <w:sz w:val="22"/>
          <w:szCs w:val="22"/>
        </w:rPr>
        <w:t xml:space="preserve"> y las empresas asistentes podrán informarse de primera mano de las líneas de ayudas que tiene la Consejería de Fomento para la rehabilitación edificatoria y de las próximas actuaciones que tengan previsto para mejorar la eficiencia energética del parque edificatorio.</w:t>
      </w:r>
      <w:r w:rsidRPr="00F950B2">
        <w:rPr>
          <w:rFonts w:ascii="Tahoma" w:eastAsia="Arial" w:hAnsi="Tahoma" w:cs="Tahoma"/>
          <w:sz w:val="22"/>
          <w:szCs w:val="22"/>
        </w:rPr>
        <w:t xml:space="preserve"> También participará el delegado de Relacione Institucionales</w:t>
      </w:r>
      <w:r>
        <w:rPr>
          <w:rFonts w:ascii="Tahoma" w:eastAsia="Arial" w:hAnsi="Tahoma" w:cs="Tahoma"/>
          <w:sz w:val="22"/>
          <w:szCs w:val="22"/>
        </w:rPr>
        <w:t xml:space="preserve"> de Iberdrola</w:t>
      </w:r>
      <w:r w:rsidRPr="00F950B2">
        <w:rPr>
          <w:rFonts w:ascii="Tahoma" w:eastAsia="Arial" w:hAnsi="Tahoma" w:cs="Tahoma"/>
          <w:sz w:val="22"/>
          <w:szCs w:val="22"/>
        </w:rPr>
        <w:t>, Óscar Narros Beleña, quien considera que “</w:t>
      </w:r>
      <w:r w:rsidRPr="00F950B2">
        <w:rPr>
          <w:rFonts w:ascii="Tahoma" w:hAnsi="Tahoma" w:cs="Tahoma"/>
          <w:sz w:val="22"/>
          <w:szCs w:val="22"/>
        </w:rPr>
        <w:t>la transición energética no es solo un reto, sino una oportunidad para mejorar la competitividad de nuestras empresas. Est</w:t>
      </w:r>
      <w:r w:rsidRPr="00F950B2">
        <w:rPr>
          <w:rFonts w:ascii="Tahoma" w:hAnsi="Tahoma" w:cs="Tahoma"/>
          <w:sz w:val="22"/>
          <w:szCs w:val="22"/>
        </w:rPr>
        <w:t>a</w:t>
      </w:r>
      <w:r w:rsidRPr="00F950B2">
        <w:rPr>
          <w:rFonts w:ascii="Tahoma" w:hAnsi="Tahoma" w:cs="Tahoma"/>
          <w:sz w:val="22"/>
          <w:szCs w:val="22"/>
        </w:rPr>
        <w:t xml:space="preserve"> jornada nos </w:t>
      </w:r>
      <w:r w:rsidRPr="00F950B2">
        <w:rPr>
          <w:rFonts w:ascii="Tahoma" w:hAnsi="Tahoma" w:cs="Tahoma"/>
          <w:sz w:val="22"/>
          <w:szCs w:val="22"/>
        </w:rPr>
        <w:t xml:space="preserve">va a permitir </w:t>
      </w:r>
      <w:r w:rsidRPr="00F950B2">
        <w:rPr>
          <w:rFonts w:ascii="Tahoma" w:hAnsi="Tahoma" w:cs="Tahoma"/>
          <w:sz w:val="22"/>
          <w:szCs w:val="22"/>
        </w:rPr>
        <w:t>acompañar a nuestros profesionales y socios en un proceso que será decisivo para el presente y futuro del sector”.</w:t>
      </w:r>
    </w:p>
    <w:p w14:paraId="0606B52C" w14:textId="77777777" w:rsidR="00611DF6" w:rsidRPr="00F950B2" w:rsidRDefault="00611DF6" w:rsidP="00611DF6">
      <w:pPr>
        <w:rPr>
          <w:rFonts w:ascii="Tahoma" w:eastAsia="Arial" w:hAnsi="Tahoma" w:cs="Tahoma"/>
          <w:sz w:val="22"/>
          <w:szCs w:val="22"/>
        </w:rPr>
      </w:pPr>
    </w:p>
    <w:p w14:paraId="368C2A21" w14:textId="68D24542" w:rsidR="00611DF6" w:rsidRPr="00F950B2" w:rsidRDefault="00611DF6" w:rsidP="00611DF6">
      <w:pPr>
        <w:rPr>
          <w:rFonts w:ascii="Tahoma" w:eastAsia="Arial" w:hAnsi="Tahoma" w:cs="Tahoma"/>
          <w:sz w:val="22"/>
          <w:szCs w:val="22"/>
        </w:rPr>
      </w:pPr>
      <w:r w:rsidRPr="00F950B2">
        <w:rPr>
          <w:rFonts w:ascii="Tahoma" w:eastAsia="Arial" w:hAnsi="Tahoma" w:cs="Tahoma"/>
          <w:sz w:val="22"/>
          <w:szCs w:val="22"/>
        </w:rPr>
        <w:t xml:space="preserve">La jornada, organizada FEDA con el patrocinio de </w:t>
      </w:r>
      <w:hyperlink r:id="rId8" w:history="1">
        <w:r w:rsidR="00F950B2" w:rsidRPr="00852C5D">
          <w:rPr>
            <w:rStyle w:val="Hipervnculo"/>
            <w:rFonts w:ascii="Tahoma" w:eastAsia="Arial" w:hAnsi="Tahoma" w:cs="Tahoma"/>
            <w:sz w:val="22"/>
            <w:szCs w:val="22"/>
          </w:rPr>
          <w:t>Iberdrola</w:t>
        </w:r>
      </w:hyperlink>
      <w:r w:rsidR="00F950B2">
        <w:rPr>
          <w:rFonts w:ascii="Tahoma" w:eastAsia="Arial" w:hAnsi="Tahoma" w:cs="Tahoma"/>
          <w:sz w:val="22"/>
          <w:szCs w:val="22"/>
        </w:rPr>
        <w:t xml:space="preserve"> </w:t>
      </w:r>
      <w:r w:rsidRPr="00F950B2">
        <w:rPr>
          <w:rFonts w:ascii="Tahoma" w:eastAsia="Arial" w:hAnsi="Tahoma" w:cs="Tahoma"/>
          <w:sz w:val="22"/>
          <w:szCs w:val="22"/>
        </w:rPr>
        <w:t>y la colaboración de</w:t>
      </w:r>
      <w:r w:rsidR="00F950B2">
        <w:rPr>
          <w:rFonts w:ascii="Tahoma" w:eastAsia="Arial" w:hAnsi="Tahoma" w:cs="Tahoma"/>
          <w:sz w:val="22"/>
          <w:szCs w:val="22"/>
        </w:rPr>
        <w:t xml:space="preserve"> </w:t>
      </w:r>
      <w:hyperlink r:id="rId9" w:history="1">
        <w:r w:rsidR="00F950B2" w:rsidRPr="00514A12">
          <w:rPr>
            <w:rStyle w:val="Hipervnculo"/>
            <w:rFonts w:ascii="Tahoma" w:eastAsia="Arial" w:hAnsi="Tahoma" w:cs="Tahoma"/>
            <w:sz w:val="22"/>
            <w:szCs w:val="22"/>
          </w:rPr>
          <w:t>CECAM</w:t>
        </w:r>
      </w:hyperlink>
      <w:r w:rsidRPr="00F950B2">
        <w:rPr>
          <w:rFonts w:ascii="Tahoma" w:eastAsia="Arial" w:hAnsi="Tahoma" w:cs="Tahoma"/>
          <w:sz w:val="22"/>
          <w:szCs w:val="22"/>
        </w:rPr>
        <w:t xml:space="preserve">, sobre </w:t>
      </w:r>
      <w:hyperlink r:id="rId10" w:history="1">
        <w:r w:rsidR="00220EDD" w:rsidRPr="00F950B2">
          <w:rPr>
            <w:rStyle w:val="Hipervnculo"/>
            <w:rFonts w:ascii="Tahoma" w:eastAsia="Arial" w:hAnsi="Tahoma" w:cs="Tahoma"/>
            <w:sz w:val="22"/>
            <w:szCs w:val="22"/>
          </w:rPr>
          <w:t>“Soluciones eficientes y competitivas a la descarbonización: sectores de la construcción y la vivienda”</w:t>
        </w:r>
      </w:hyperlink>
      <w:r w:rsidR="00220EDD" w:rsidRPr="00F950B2">
        <w:rPr>
          <w:sz w:val="22"/>
          <w:szCs w:val="22"/>
        </w:rPr>
        <w:t xml:space="preserve">, </w:t>
      </w:r>
      <w:r w:rsidR="00220EDD" w:rsidRPr="00F950B2">
        <w:rPr>
          <w:rFonts w:ascii="Tahoma" w:hAnsi="Tahoma" w:cs="Tahoma"/>
          <w:sz w:val="22"/>
          <w:szCs w:val="22"/>
        </w:rPr>
        <w:t xml:space="preserve">tiene como objetivo principal  </w:t>
      </w:r>
      <w:r w:rsidR="00220EDD" w:rsidRPr="00F950B2">
        <w:rPr>
          <w:rFonts w:ascii="Tahoma" w:eastAsia="Arial" w:hAnsi="Tahoma" w:cs="Tahoma"/>
          <w:sz w:val="22"/>
          <w:szCs w:val="22"/>
        </w:rPr>
        <w:t>difundir entre las empresas distintas soluciones que contribuyen a la descarbonización de las instalaciones y a la reducción de las emisiones de gases de efecto invernadero, en línea con los compromisos establecidos para los horizontes 2030 y 2050.</w:t>
      </w:r>
    </w:p>
    <w:p w14:paraId="2C96A1BE" w14:textId="77777777" w:rsidR="00220EDD" w:rsidRPr="00F950B2" w:rsidRDefault="00220EDD" w:rsidP="00611DF6">
      <w:pPr>
        <w:rPr>
          <w:rFonts w:ascii="Tahoma" w:eastAsia="Arial" w:hAnsi="Tahoma" w:cs="Tahoma"/>
          <w:sz w:val="22"/>
          <w:szCs w:val="22"/>
        </w:rPr>
      </w:pPr>
    </w:p>
    <w:p w14:paraId="71C5FFB9" w14:textId="02705020" w:rsidR="00220EDD" w:rsidRPr="00F950B2" w:rsidRDefault="00220EDD" w:rsidP="00611DF6">
      <w:pPr>
        <w:rPr>
          <w:rFonts w:ascii="Tahoma" w:eastAsia="Arial" w:hAnsi="Tahoma" w:cs="Tahoma"/>
          <w:b/>
          <w:bCs/>
          <w:sz w:val="22"/>
          <w:szCs w:val="22"/>
        </w:rPr>
      </w:pPr>
      <w:r w:rsidRPr="00F950B2">
        <w:rPr>
          <w:rFonts w:ascii="Tahoma" w:eastAsia="Arial" w:hAnsi="Tahoma" w:cs="Tahoma"/>
          <w:b/>
          <w:bCs/>
          <w:sz w:val="22"/>
          <w:szCs w:val="22"/>
        </w:rPr>
        <w:t>Falta capacidad redes electricas en Castilla-La Mancha</w:t>
      </w:r>
    </w:p>
    <w:p w14:paraId="6CD23C33" w14:textId="77777777" w:rsidR="00220EDD" w:rsidRPr="00F950B2" w:rsidRDefault="00220EDD" w:rsidP="00611DF6">
      <w:pPr>
        <w:rPr>
          <w:rFonts w:ascii="Tahoma" w:eastAsia="Arial" w:hAnsi="Tahoma" w:cs="Tahoma"/>
          <w:sz w:val="22"/>
          <w:szCs w:val="22"/>
        </w:rPr>
      </w:pPr>
    </w:p>
    <w:p w14:paraId="3A3910D3" w14:textId="49219EDB" w:rsidR="00611DF6" w:rsidRPr="00F950B2" w:rsidRDefault="00611DF6" w:rsidP="00611DF6">
      <w:pPr>
        <w:rPr>
          <w:rFonts w:ascii="Tahoma" w:eastAsia="Arial" w:hAnsi="Tahoma" w:cs="Tahoma"/>
          <w:sz w:val="22"/>
          <w:szCs w:val="22"/>
        </w:rPr>
      </w:pPr>
      <w:r w:rsidRPr="00F950B2">
        <w:rPr>
          <w:rFonts w:ascii="Tahoma" w:eastAsia="Arial" w:hAnsi="Tahoma" w:cs="Tahoma"/>
          <w:sz w:val="22"/>
          <w:szCs w:val="22"/>
        </w:rPr>
        <w:t>En el primer bloque de la jornada, la representante de la Asociación de Empresas de Energía Eléctrica</w:t>
      </w:r>
      <w:r w:rsidR="00220EDD" w:rsidRPr="00F950B2">
        <w:rPr>
          <w:rFonts w:ascii="Tahoma" w:eastAsia="Arial" w:hAnsi="Tahoma" w:cs="Tahoma"/>
          <w:sz w:val="22"/>
          <w:szCs w:val="22"/>
        </w:rPr>
        <w:t>,</w:t>
      </w:r>
      <w:r w:rsidRPr="00F950B2">
        <w:rPr>
          <w:rFonts w:ascii="Tahoma" w:eastAsia="Arial" w:hAnsi="Tahoma" w:cs="Tahoma"/>
          <w:sz w:val="22"/>
          <w:szCs w:val="22"/>
        </w:rPr>
        <w:t xml:space="preserve"> AELEC</w:t>
      </w:r>
      <w:r w:rsidR="00220EDD" w:rsidRPr="00F950B2">
        <w:rPr>
          <w:rFonts w:ascii="Tahoma" w:eastAsia="Arial" w:hAnsi="Tahoma" w:cs="Tahoma"/>
          <w:sz w:val="22"/>
          <w:szCs w:val="22"/>
        </w:rPr>
        <w:t>,</w:t>
      </w:r>
      <w:r w:rsidRPr="00F950B2">
        <w:rPr>
          <w:rFonts w:ascii="Tahoma" w:eastAsia="Arial" w:hAnsi="Tahoma" w:cs="Tahoma"/>
          <w:sz w:val="22"/>
          <w:szCs w:val="22"/>
        </w:rPr>
        <w:t xml:space="preserve"> abordará el problema de la falta de capacidad en las redes eléctricas de distribución y transporte que tenemos en España y más concretamente en la </w:t>
      </w:r>
      <w:r w:rsidR="00220EDD" w:rsidRPr="00F950B2">
        <w:rPr>
          <w:rFonts w:ascii="Tahoma" w:eastAsia="Arial" w:hAnsi="Tahoma" w:cs="Tahoma"/>
          <w:sz w:val="22"/>
          <w:szCs w:val="22"/>
        </w:rPr>
        <w:t>C</w:t>
      </w:r>
      <w:r w:rsidRPr="00F950B2">
        <w:rPr>
          <w:rFonts w:ascii="Tahoma" w:eastAsia="Arial" w:hAnsi="Tahoma" w:cs="Tahoma"/>
          <w:sz w:val="22"/>
          <w:szCs w:val="22"/>
        </w:rPr>
        <w:t>omunidad de Castilla-La Mancha y que se ha puesto de manifiesto tras la publicación oficial de los mapas de capacidad. A continuación, el director comercial de Balantia</w:t>
      </w:r>
      <w:r w:rsidR="00220EDD" w:rsidRPr="00F950B2">
        <w:rPr>
          <w:rFonts w:ascii="Tahoma" w:eastAsia="Arial" w:hAnsi="Tahoma" w:cs="Tahoma"/>
          <w:sz w:val="22"/>
          <w:szCs w:val="22"/>
        </w:rPr>
        <w:t xml:space="preserve"> (Iberdrola)</w:t>
      </w:r>
      <w:r w:rsidRPr="00F950B2">
        <w:rPr>
          <w:rFonts w:ascii="Tahoma" w:eastAsia="Arial" w:hAnsi="Tahoma" w:cs="Tahoma"/>
          <w:sz w:val="22"/>
          <w:szCs w:val="22"/>
        </w:rPr>
        <w:t xml:space="preserve"> explicará el funcionamiento del mercado de los Certificados de Ahorro Energéticos (CAEs), que puede suponer una inyección económica importante en los proyectos de rehabilitación energética y en la mejora de la eficiencia de las instalaciones.</w:t>
      </w:r>
    </w:p>
    <w:p w14:paraId="3A474A84" w14:textId="77777777" w:rsidR="00611DF6" w:rsidRPr="00F950B2" w:rsidRDefault="00611DF6" w:rsidP="00611DF6">
      <w:pPr>
        <w:rPr>
          <w:rFonts w:ascii="Tahoma" w:eastAsia="Arial" w:hAnsi="Tahoma" w:cs="Tahoma"/>
          <w:sz w:val="22"/>
          <w:szCs w:val="22"/>
        </w:rPr>
      </w:pPr>
    </w:p>
    <w:p w14:paraId="5C0277F4" w14:textId="41309E04" w:rsidR="00611DF6" w:rsidRDefault="00611DF6" w:rsidP="00611DF6">
      <w:pPr>
        <w:rPr>
          <w:rFonts w:ascii="Tahoma" w:eastAsia="Arial" w:hAnsi="Tahoma" w:cs="Tahoma"/>
          <w:sz w:val="22"/>
          <w:szCs w:val="22"/>
        </w:rPr>
      </w:pPr>
      <w:r w:rsidRPr="00F950B2">
        <w:rPr>
          <w:rFonts w:ascii="Tahoma" w:eastAsia="Arial" w:hAnsi="Tahoma" w:cs="Tahoma"/>
          <w:sz w:val="22"/>
          <w:szCs w:val="22"/>
        </w:rPr>
        <w:t xml:space="preserve">Después </w:t>
      </w:r>
      <w:r w:rsidR="00220EDD" w:rsidRPr="00F950B2">
        <w:rPr>
          <w:rFonts w:ascii="Tahoma" w:eastAsia="Arial" w:hAnsi="Tahoma" w:cs="Tahoma"/>
          <w:sz w:val="22"/>
          <w:szCs w:val="22"/>
        </w:rPr>
        <w:t xml:space="preserve">de un espacio de </w:t>
      </w:r>
      <w:r w:rsidRPr="00F950B2">
        <w:rPr>
          <w:rFonts w:ascii="Tahoma" w:eastAsia="Arial" w:hAnsi="Tahoma" w:cs="Tahoma"/>
          <w:sz w:val="22"/>
          <w:szCs w:val="22"/>
        </w:rPr>
        <w:t>networking</w:t>
      </w:r>
      <w:r w:rsidR="00220EDD" w:rsidRPr="00F950B2">
        <w:rPr>
          <w:rFonts w:ascii="Tahoma" w:eastAsia="Arial" w:hAnsi="Tahoma" w:cs="Tahoma"/>
          <w:sz w:val="22"/>
          <w:szCs w:val="22"/>
        </w:rPr>
        <w:t xml:space="preserve"> entre los asistentes</w:t>
      </w:r>
      <w:r w:rsidRPr="00F950B2">
        <w:rPr>
          <w:rFonts w:ascii="Tahoma" w:eastAsia="Arial" w:hAnsi="Tahoma" w:cs="Tahoma"/>
          <w:sz w:val="22"/>
          <w:szCs w:val="22"/>
        </w:rPr>
        <w:t xml:space="preserve">, se </w:t>
      </w:r>
      <w:r w:rsidR="00220EDD" w:rsidRPr="00F950B2">
        <w:rPr>
          <w:rFonts w:ascii="Tahoma" w:eastAsia="Arial" w:hAnsi="Tahoma" w:cs="Tahoma"/>
          <w:sz w:val="22"/>
          <w:szCs w:val="22"/>
        </w:rPr>
        <w:t>celebrarán</w:t>
      </w:r>
      <w:r w:rsidRPr="00F950B2">
        <w:rPr>
          <w:rFonts w:ascii="Tahoma" w:eastAsia="Arial" w:hAnsi="Tahoma" w:cs="Tahoma"/>
          <w:sz w:val="22"/>
          <w:szCs w:val="22"/>
        </w:rPr>
        <w:t xml:space="preserve"> dos mesas redondas. La primera de ellas se dedicará a la exposición de seis casos reales de éxito que pueden servir de ejemplo y que se pueden replicar en otros entornos. La segunda mesa reunirá a los representantes de varias organizaciones vinculadas con estas actuaciones para exponer su visión y su experiencia sobre esta temática.</w:t>
      </w:r>
    </w:p>
    <w:p w14:paraId="095E20E3" w14:textId="77777777" w:rsidR="00F950B2" w:rsidRDefault="00F950B2" w:rsidP="00611DF6">
      <w:pPr>
        <w:rPr>
          <w:rFonts w:ascii="Tahoma" w:eastAsia="Arial" w:hAnsi="Tahoma" w:cs="Tahoma"/>
          <w:sz w:val="22"/>
          <w:szCs w:val="22"/>
        </w:rPr>
      </w:pPr>
    </w:p>
    <w:p w14:paraId="24C3343D" w14:textId="77777777" w:rsidR="00F950B2" w:rsidRDefault="00F950B2" w:rsidP="00611DF6">
      <w:pPr>
        <w:rPr>
          <w:rFonts w:ascii="Tahoma" w:eastAsia="Arial" w:hAnsi="Tahoma" w:cs="Tahoma"/>
          <w:sz w:val="22"/>
          <w:szCs w:val="22"/>
        </w:rPr>
      </w:pPr>
    </w:p>
    <w:p w14:paraId="7AD37DC6" w14:textId="77777777" w:rsidR="00F950B2" w:rsidRDefault="00F950B2" w:rsidP="00611DF6">
      <w:pPr>
        <w:rPr>
          <w:rFonts w:ascii="Tahoma" w:eastAsia="Arial" w:hAnsi="Tahoma" w:cs="Tahoma"/>
          <w:sz w:val="22"/>
          <w:szCs w:val="22"/>
        </w:rPr>
      </w:pPr>
    </w:p>
    <w:p w14:paraId="0C9080A0" w14:textId="77777777" w:rsidR="00220EDD" w:rsidRPr="00F950B2" w:rsidRDefault="00220EDD" w:rsidP="00611DF6">
      <w:pPr>
        <w:rPr>
          <w:rFonts w:ascii="Tahoma" w:eastAsia="Arial" w:hAnsi="Tahoma" w:cs="Tahoma"/>
          <w:sz w:val="22"/>
          <w:szCs w:val="22"/>
        </w:rPr>
      </w:pPr>
    </w:p>
    <w:p w14:paraId="76B44C1F" w14:textId="7915A92B" w:rsidR="00220EDD" w:rsidRPr="00F950B2" w:rsidRDefault="00220EDD" w:rsidP="00611DF6">
      <w:pPr>
        <w:rPr>
          <w:rFonts w:ascii="Tahoma" w:eastAsia="Arial" w:hAnsi="Tahoma" w:cs="Tahoma"/>
          <w:b/>
          <w:bCs/>
          <w:sz w:val="22"/>
          <w:szCs w:val="22"/>
        </w:rPr>
      </w:pPr>
      <w:r w:rsidRPr="00F950B2">
        <w:rPr>
          <w:rFonts w:ascii="Tahoma" w:eastAsia="Arial" w:hAnsi="Tahoma" w:cs="Tahoma"/>
          <w:b/>
          <w:bCs/>
          <w:sz w:val="22"/>
          <w:szCs w:val="22"/>
        </w:rPr>
        <w:t>Casos de éxito: “La Pajarita”, de Albacete</w:t>
      </w:r>
    </w:p>
    <w:p w14:paraId="65C0A8D9" w14:textId="77777777" w:rsidR="00611DF6" w:rsidRPr="00F950B2" w:rsidRDefault="00611DF6" w:rsidP="00611DF6">
      <w:pPr>
        <w:rPr>
          <w:rFonts w:ascii="Tahoma" w:eastAsia="Arial" w:hAnsi="Tahoma" w:cs="Tahoma"/>
          <w:sz w:val="22"/>
          <w:szCs w:val="22"/>
        </w:rPr>
      </w:pPr>
    </w:p>
    <w:p w14:paraId="2F7DD763" w14:textId="77777777" w:rsidR="00F950B2" w:rsidRPr="00F950B2" w:rsidRDefault="00611DF6" w:rsidP="00611DF6">
      <w:pPr>
        <w:rPr>
          <w:rFonts w:ascii="Tahoma" w:eastAsia="Arial" w:hAnsi="Tahoma" w:cs="Tahoma"/>
          <w:sz w:val="22"/>
          <w:szCs w:val="22"/>
        </w:rPr>
      </w:pPr>
      <w:r w:rsidRPr="00F950B2">
        <w:rPr>
          <w:rFonts w:ascii="Tahoma" w:eastAsia="Arial" w:hAnsi="Tahoma" w:cs="Tahoma"/>
          <w:sz w:val="22"/>
          <w:szCs w:val="22"/>
        </w:rPr>
        <w:t xml:space="preserve">Entre los casos de éxito, el director comercial del </w:t>
      </w:r>
      <w:r w:rsidRPr="00F950B2">
        <w:rPr>
          <w:rFonts w:ascii="Tahoma" w:eastAsia="Arial" w:hAnsi="Tahoma" w:cs="Tahoma"/>
          <w:b/>
          <w:bCs/>
          <w:sz w:val="22"/>
          <w:szCs w:val="22"/>
        </w:rPr>
        <w:t>Grupo Bueno Arenas</w:t>
      </w:r>
      <w:r w:rsidRPr="00F950B2">
        <w:rPr>
          <w:rFonts w:ascii="Tahoma" w:eastAsia="Arial" w:hAnsi="Tahoma" w:cs="Tahoma"/>
          <w:sz w:val="22"/>
          <w:szCs w:val="22"/>
        </w:rPr>
        <w:t xml:space="preserve"> mostrará como ejemplos varias instalaciones que han realizado en viviendas unifamiliares y en edificios residenciales. Los arquitectos de </w:t>
      </w:r>
      <w:r w:rsidRPr="00F950B2">
        <w:rPr>
          <w:rFonts w:ascii="Tahoma" w:eastAsia="Arial" w:hAnsi="Tahoma" w:cs="Tahoma"/>
          <w:b/>
          <w:bCs/>
          <w:sz w:val="22"/>
          <w:szCs w:val="22"/>
        </w:rPr>
        <w:t>AR Rehabilitación</w:t>
      </w:r>
      <w:r w:rsidRPr="00F950B2">
        <w:rPr>
          <w:rFonts w:ascii="Tahoma" w:eastAsia="Arial" w:hAnsi="Tahoma" w:cs="Tahoma"/>
          <w:sz w:val="22"/>
          <w:szCs w:val="22"/>
        </w:rPr>
        <w:t xml:space="preserve"> y de </w:t>
      </w:r>
      <w:r w:rsidRPr="00F950B2">
        <w:rPr>
          <w:rFonts w:ascii="Tahoma" w:eastAsia="Arial" w:hAnsi="Tahoma" w:cs="Tahoma"/>
          <w:b/>
          <w:bCs/>
          <w:sz w:val="22"/>
          <w:szCs w:val="22"/>
        </w:rPr>
        <w:t>Smart Clima</w:t>
      </w:r>
      <w:r w:rsidRPr="00F950B2">
        <w:rPr>
          <w:rFonts w:ascii="Tahoma" w:eastAsia="Arial" w:hAnsi="Tahoma" w:cs="Tahoma"/>
          <w:sz w:val="22"/>
          <w:szCs w:val="22"/>
        </w:rPr>
        <w:t xml:space="preserve"> explicarán sus actuaciones y su experiencia en la rehabilitación de dos barrios de viviendas, uno de ellos es el barrio de “La Pajarita” en Albacete y el otro, es en un barrio de la ciudad de Jaén. También habrá un caso de éxito realizado en un hotel y que lo mostrará el coordinador técnico de Prescripción de la marca </w:t>
      </w:r>
      <w:r w:rsidRPr="00F950B2">
        <w:rPr>
          <w:rFonts w:ascii="Tahoma" w:eastAsia="Arial" w:hAnsi="Tahoma" w:cs="Tahoma"/>
          <w:b/>
          <w:bCs/>
          <w:sz w:val="22"/>
          <w:szCs w:val="22"/>
        </w:rPr>
        <w:t>Keyter</w:t>
      </w:r>
      <w:r w:rsidRPr="00F950B2">
        <w:rPr>
          <w:rFonts w:ascii="Tahoma" w:eastAsia="Arial" w:hAnsi="Tahoma" w:cs="Tahoma"/>
          <w:sz w:val="22"/>
          <w:szCs w:val="22"/>
        </w:rPr>
        <w:t xml:space="preserve"> y otro caso de valorización de los residuos a cargo del responsable comercial de la zona centro de la firma </w:t>
      </w:r>
      <w:r w:rsidRPr="00F950B2">
        <w:rPr>
          <w:rFonts w:ascii="Tahoma" w:eastAsia="Arial" w:hAnsi="Tahoma" w:cs="Tahoma"/>
          <w:b/>
          <w:bCs/>
          <w:sz w:val="22"/>
          <w:szCs w:val="22"/>
        </w:rPr>
        <w:t>Ecoforest</w:t>
      </w:r>
      <w:r w:rsidRPr="00F950B2">
        <w:rPr>
          <w:rFonts w:ascii="Tahoma" w:eastAsia="Arial" w:hAnsi="Tahoma" w:cs="Tahoma"/>
          <w:sz w:val="22"/>
          <w:szCs w:val="22"/>
        </w:rPr>
        <w:t xml:space="preserve">. </w:t>
      </w:r>
    </w:p>
    <w:p w14:paraId="291F2522" w14:textId="77777777" w:rsidR="00F950B2" w:rsidRPr="00F950B2" w:rsidRDefault="00F950B2" w:rsidP="00611DF6">
      <w:pPr>
        <w:rPr>
          <w:rFonts w:ascii="Tahoma" w:eastAsia="Arial" w:hAnsi="Tahoma" w:cs="Tahoma"/>
          <w:sz w:val="22"/>
          <w:szCs w:val="22"/>
        </w:rPr>
      </w:pPr>
    </w:p>
    <w:p w14:paraId="2B1A8B8A" w14:textId="09BCC005" w:rsidR="00611DF6" w:rsidRPr="00F950B2" w:rsidRDefault="00611DF6" w:rsidP="00611DF6">
      <w:pPr>
        <w:rPr>
          <w:rFonts w:ascii="Tahoma" w:eastAsia="Arial" w:hAnsi="Tahoma" w:cs="Tahoma"/>
          <w:sz w:val="22"/>
          <w:szCs w:val="22"/>
        </w:rPr>
      </w:pPr>
      <w:r w:rsidRPr="00F950B2">
        <w:rPr>
          <w:rFonts w:ascii="Tahoma" w:eastAsia="Arial" w:hAnsi="Tahoma" w:cs="Tahoma"/>
          <w:sz w:val="22"/>
          <w:szCs w:val="22"/>
        </w:rPr>
        <w:t xml:space="preserve">La Administración </w:t>
      </w:r>
      <w:r w:rsidR="00F950B2" w:rsidRPr="00F950B2">
        <w:rPr>
          <w:rFonts w:ascii="Tahoma" w:eastAsia="Arial" w:hAnsi="Tahoma" w:cs="Tahoma"/>
          <w:sz w:val="22"/>
          <w:szCs w:val="22"/>
        </w:rPr>
        <w:t>p</w:t>
      </w:r>
      <w:r w:rsidRPr="00F950B2">
        <w:rPr>
          <w:rFonts w:ascii="Tahoma" w:eastAsia="Arial" w:hAnsi="Tahoma" w:cs="Tahoma"/>
          <w:sz w:val="22"/>
          <w:szCs w:val="22"/>
        </w:rPr>
        <w:t xml:space="preserve">ública también tendrá cabida en esta sección y el director técnico de </w:t>
      </w:r>
      <w:r w:rsidRPr="00F950B2">
        <w:rPr>
          <w:rFonts w:ascii="Tahoma" w:eastAsia="Arial" w:hAnsi="Tahoma" w:cs="Tahoma"/>
          <w:b/>
          <w:bCs/>
          <w:sz w:val="22"/>
          <w:szCs w:val="22"/>
        </w:rPr>
        <w:t>Artecoin</w:t>
      </w:r>
      <w:r w:rsidRPr="00F950B2">
        <w:rPr>
          <w:rFonts w:ascii="Tahoma" w:eastAsia="Arial" w:hAnsi="Tahoma" w:cs="Tahoma"/>
          <w:sz w:val="22"/>
          <w:szCs w:val="22"/>
        </w:rPr>
        <w:t xml:space="preserve"> explicará el proyecto que están ejecutando en la localidad de Baena para mejorar la eficiencia de la infraestructura y de las instalaciones municipales utilizando la monetización de los CAEs como fuente de financiación.</w:t>
      </w:r>
    </w:p>
    <w:p w14:paraId="7A2B046C" w14:textId="77777777" w:rsidR="00F950B2" w:rsidRPr="00F950B2" w:rsidRDefault="00F950B2" w:rsidP="00611DF6">
      <w:pPr>
        <w:rPr>
          <w:rFonts w:ascii="Tahoma" w:eastAsia="Arial" w:hAnsi="Tahoma" w:cs="Tahoma"/>
          <w:sz w:val="22"/>
          <w:szCs w:val="22"/>
        </w:rPr>
      </w:pPr>
    </w:p>
    <w:p w14:paraId="72915B43" w14:textId="2116EA79" w:rsidR="00F950B2" w:rsidRPr="00F950B2" w:rsidRDefault="00F950B2" w:rsidP="00611DF6">
      <w:pPr>
        <w:rPr>
          <w:rFonts w:ascii="Tahoma" w:eastAsia="Arial" w:hAnsi="Tahoma" w:cs="Tahoma"/>
          <w:b/>
          <w:bCs/>
          <w:sz w:val="22"/>
          <w:szCs w:val="22"/>
        </w:rPr>
      </w:pPr>
      <w:r w:rsidRPr="00F950B2">
        <w:rPr>
          <w:rFonts w:ascii="Tahoma" w:eastAsia="Arial" w:hAnsi="Tahoma" w:cs="Tahoma"/>
          <w:b/>
          <w:bCs/>
          <w:sz w:val="22"/>
          <w:szCs w:val="22"/>
        </w:rPr>
        <w:t>Procesos, oportunidades y financiación</w:t>
      </w:r>
    </w:p>
    <w:p w14:paraId="3467E687" w14:textId="77777777" w:rsidR="00611DF6" w:rsidRPr="00F950B2" w:rsidRDefault="00611DF6" w:rsidP="00611DF6">
      <w:pPr>
        <w:rPr>
          <w:rFonts w:ascii="Tahoma" w:eastAsia="Arial" w:hAnsi="Tahoma" w:cs="Tahoma"/>
          <w:sz w:val="22"/>
          <w:szCs w:val="22"/>
        </w:rPr>
      </w:pPr>
    </w:p>
    <w:p w14:paraId="1103A821" w14:textId="354CC4D7" w:rsidR="00611DF6" w:rsidRPr="00F950B2" w:rsidRDefault="00611DF6" w:rsidP="00611DF6">
      <w:pPr>
        <w:rPr>
          <w:rFonts w:ascii="Tahoma" w:eastAsia="Arial" w:hAnsi="Tahoma" w:cs="Tahoma"/>
          <w:sz w:val="22"/>
          <w:szCs w:val="22"/>
        </w:rPr>
      </w:pPr>
      <w:r w:rsidRPr="00F950B2">
        <w:rPr>
          <w:rFonts w:ascii="Tahoma" w:eastAsia="Arial" w:hAnsi="Tahoma" w:cs="Tahoma"/>
          <w:sz w:val="22"/>
          <w:szCs w:val="22"/>
        </w:rPr>
        <w:t>La mesa redonda de agentes involucrados en el sector estará moderada por un miembro de la Escuela de Ingenieros Industriales de Albacete, que además contará los resultados de alguno de los proyectos académicos más significativos en los que está trabajando la Universidad de Castilla-La Mancha. Participarán en esta mesa un representante del Colegio Oficial de Aparejadores, Arquitectos Técnicos e Ingenieros de Edificación de Albacete, otro de la Asociación Provincial de Instaladores Electricistas y de Telecomunicaciones</w:t>
      </w:r>
      <w:r w:rsidR="00220EDD" w:rsidRPr="00F950B2">
        <w:rPr>
          <w:rFonts w:ascii="Tahoma" w:eastAsia="Arial" w:hAnsi="Tahoma" w:cs="Tahoma"/>
          <w:sz w:val="22"/>
          <w:szCs w:val="22"/>
        </w:rPr>
        <w:t xml:space="preserve">, </w:t>
      </w:r>
      <w:r w:rsidRPr="00F950B2">
        <w:rPr>
          <w:rFonts w:ascii="Tahoma" w:eastAsia="Arial" w:hAnsi="Tahoma" w:cs="Tahoma"/>
          <w:sz w:val="22"/>
          <w:szCs w:val="22"/>
        </w:rPr>
        <w:t>APIET</w:t>
      </w:r>
      <w:r w:rsidR="00220EDD" w:rsidRPr="00F950B2">
        <w:rPr>
          <w:rFonts w:ascii="Tahoma" w:eastAsia="Arial" w:hAnsi="Tahoma" w:cs="Tahoma"/>
          <w:sz w:val="22"/>
          <w:szCs w:val="22"/>
        </w:rPr>
        <w:t>,</w:t>
      </w:r>
      <w:r w:rsidRPr="00F950B2">
        <w:rPr>
          <w:rFonts w:ascii="Tahoma" w:eastAsia="Arial" w:hAnsi="Tahoma" w:cs="Tahoma"/>
          <w:sz w:val="22"/>
          <w:szCs w:val="22"/>
        </w:rPr>
        <w:t xml:space="preserve"> y otro del Colegio Oficial de Arquitectos de Castilla-La Mancha</w:t>
      </w:r>
      <w:r w:rsidR="00220EDD" w:rsidRPr="00F950B2">
        <w:rPr>
          <w:rFonts w:ascii="Tahoma" w:eastAsia="Arial" w:hAnsi="Tahoma" w:cs="Tahoma"/>
          <w:sz w:val="22"/>
          <w:szCs w:val="22"/>
        </w:rPr>
        <w:t xml:space="preserve">, </w:t>
      </w:r>
      <w:r w:rsidRPr="00F950B2">
        <w:rPr>
          <w:rFonts w:ascii="Tahoma" w:eastAsia="Arial" w:hAnsi="Tahoma" w:cs="Tahoma"/>
          <w:sz w:val="22"/>
          <w:szCs w:val="22"/>
        </w:rPr>
        <w:t>COACM</w:t>
      </w:r>
      <w:r w:rsidR="00220EDD" w:rsidRPr="00F950B2">
        <w:rPr>
          <w:rFonts w:ascii="Tahoma" w:eastAsia="Arial" w:hAnsi="Tahoma" w:cs="Tahoma"/>
          <w:sz w:val="22"/>
          <w:szCs w:val="22"/>
        </w:rPr>
        <w:t>,</w:t>
      </w:r>
      <w:r w:rsidRPr="00F950B2">
        <w:rPr>
          <w:rFonts w:ascii="Tahoma" w:eastAsia="Arial" w:hAnsi="Tahoma" w:cs="Tahoma"/>
          <w:sz w:val="22"/>
          <w:szCs w:val="22"/>
        </w:rPr>
        <w:t xml:space="preserve"> que expondrán, respectivamente, su visión sobre los procesos y las oportunidades para la descarbonización en su sector. También participará el director territorial de Globalcaja para explicar las líneas de financiación existentes en esta entidad bancaria para este tipo de actuaciones.</w:t>
      </w:r>
    </w:p>
    <w:p w14:paraId="5455C0B8" w14:textId="77777777" w:rsidR="00611DF6" w:rsidRPr="00F950B2" w:rsidRDefault="00611DF6" w:rsidP="00611DF6">
      <w:pPr>
        <w:rPr>
          <w:rFonts w:ascii="Tahoma" w:eastAsia="Arial" w:hAnsi="Tahoma" w:cs="Tahoma"/>
          <w:sz w:val="22"/>
          <w:szCs w:val="22"/>
        </w:rPr>
      </w:pPr>
    </w:p>
    <w:p w14:paraId="78CF3EAA" w14:textId="4CB8199F" w:rsidR="00611DF6" w:rsidRPr="00F950B2" w:rsidRDefault="00611DF6" w:rsidP="00611DF6">
      <w:pPr>
        <w:rPr>
          <w:rFonts w:ascii="Tahoma" w:eastAsia="Arial" w:hAnsi="Tahoma" w:cs="Tahoma"/>
          <w:sz w:val="22"/>
          <w:szCs w:val="22"/>
        </w:rPr>
      </w:pPr>
      <w:r w:rsidRPr="00F950B2">
        <w:rPr>
          <w:rFonts w:ascii="Tahoma" w:eastAsia="Arial" w:hAnsi="Tahoma" w:cs="Tahoma"/>
          <w:sz w:val="22"/>
          <w:szCs w:val="22"/>
        </w:rPr>
        <w:t xml:space="preserve">Para finalizar, la delegada provincial de Desarrollo Sostenible realizará la clausura de la jornada y expondrá lo que hace esta </w:t>
      </w:r>
      <w:r w:rsidR="00220EDD" w:rsidRPr="00F950B2">
        <w:rPr>
          <w:rFonts w:ascii="Tahoma" w:eastAsia="Arial" w:hAnsi="Tahoma" w:cs="Tahoma"/>
          <w:sz w:val="22"/>
          <w:szCs w:val="22"/>
        </w:rPr>
        <w:t>C</w:t>
      </w:r>
      <w:r w:rsidRPr="00F950B2">
        <w:rPr>
          <w:rFonts w:ascii="Tahoma" w:eastAsia="Arial" w:hAnsi="Tahoma" w:cs="Tahoma"/>
          <w:sz w:val="22"/>
          <w:szCs w:val="22"/>
        </w:rPr>
        <w:t xml:space="preserve">onsejería </w:t>
      </w:r>
      <w:r w:rsidR="00220EDD" w:rsidRPr="00F950B2">
        <w:rPr>
          <w:rFonts w:ascii="Tahoma" w:eastAsia="Arial" w:hAnsi="Tahoma" w:cs="Tahoma"/>
          <w:sz w:val="22"/>
          <w:szCs w:val="22"/>
        </w:rPr>
        <w:t>en relación con</w:t>
      </w:r>
      <w:r w:rsidRPr="00F950B2">
        <w:rPr>
          <w:rFonts w:ascii="Tahoma" w:eastAsia="Arial" w:hAnsi="Tahoma" w:cs="Tahoma"/>
          <w:sz w:val="22"/>
          <w:szCs w:val="22"/>
        </w:rPr>
        <w:t xml:space="preserve"> la capacidad de las redes y la eficiencia energética de las instalaciones.</w:t>
      </w:r>
    </w:p>
    <w:p w14:paraId="3581B280" w14:textId="77777777" w:rsidR="00220EDD" w:rsidRDefault="00220EDD" w:rsidP="00611DF6">
      <w:pPr>
        <w:rPr>
          <w:rFonts w:ascii="Tahoma" w:eastAsia="Arial" w:hAnsi="Tahoma" w:cs="Tahoma"/>
          <w:sz w:val="22"/>
          <w:szCs w:val="22"/>
        </w:rPr>
      </w:pPr>
    </w:p>
    <w:p w14:paraId="7930F7FB" w14:textId="77777777" w:rsidR="00220EDD" w:rsidRDefault="00220EDD" w:rsidP="00611DF6">
      <w:pPr>
        <w:rPr>
          <w:rFonts w:ascii="Tahoma" w:eastAsia="Arial" w:hAnsi="Tahoma" w:cs="Tahoma"/>
          <w:sz w:val="22"/>
          <w:szCs w:val="22"/>
        </w:rPr>
      </w:pPr>
    </w:p>
    <w:p w14:paraId="13860326" w14:textId="77777777" w:rsidR="00220EDD" w:rsidRDefault="00220EDD" w:rsidP="00611DF6">
      <w:pPr>
        <w:rPr>
          <w:rFonts w:ascii="Tahoma" w:eastAsia="Arial" w:hAnsi="Tahoma" w:cs="Tahoma"/>
          <w:sz w:val="22"/>
          <w:szCs w:val="22"/>
        </w:rPr>
      </w:pPr>
    </w:p>
    <w:p w14:paraId="34167F1C" w14:textId="77777777" w:rsidR="00B108EA" w:rsidRDefault="00B108EA" w:rsidP="00A10560">
      <w:pPr>
        <w:suppressAutoHyphens/>
        <w:ind w:right="-142" w:hanging="284"/>
        <w:jc w:val="right"/>
        <w:rPr>
          <w:rFonts w:ascii="Tahoma" w:hAnsi="Tahoma" w:cs="Tahoma"/>
          <w:bCs/>
          <w:sz w:val="22"/>
          <w:szCs w:val="22"/>
        </w:rPr>
      </w:pPr>
    </w:p>
    <w:sectPr w:rsidR="00B108EA" w:rsidSect="00702694">
      <w:headerReference w:type="default" r:id="rId11"/>
      <w:footerReference w:type="even" r:id="rId12"/>
      <w:footerReference w:type="default" r:id="rId1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241A5A"/>
    <w:multiLevelType w:val="hybridMultilevel"/>
    <w:tmpl w:val="4EFC9F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0E306DF6"/>
    <w:multiLevelType w:val="multilevel"/>
    <w:tmpl w:val="A48C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3A4E70"/>
    <w:multiLevelType w:val="multilevel"/>
    <w:tmpl w:val="C60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292633"/>
    <w:multiLevelType w:val="multilevel"/>
    <w:tmpl w:val="7B1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F41558"/>
    <w:multiLevelType w:val="hybridMultilevel"/>
    <w:tmpl w:val="08ACF774"/>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2" w15:restartNumberingAfterBreak="0">
    <w:nsid w:val="393B5664"/>
    <w:multiLevelType w:val="hybridMultilevel"/>
    <w:tmpl w:val="064E3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EC95674"/>
    <w:multiLevelType w:val="hybridMultilevel"/>
    <w:tmpl w:val="ADB821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1F348B7"/>
    <w:multiLevelType w:val="hybridMultilevel"/>
    <w:tmpl w:val="B560D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809250B"/>
    <w:multiLevelType w:val="multilevel"/>
    <w:tmpl w:val="B01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EB0CD5"/>
    <w:multiLevelType w:val="hybridMultilevel"/>
    <w:tmpl w:val="E0EC4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836A51"/>
    <w:multiLevelType w:val="multilevel"/>
    <w:tmpl w:val="CC3E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9" w15:restartNumberingAfterBreak="0">
    <w:nsid w:val="7FBD4E3B"/>
    <w:multiLevelType w:val="multilevel"/>
    <w:tmpl w:val="C71E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18"/>
  </w:num>
  <w:num w:numId="2" w16cid:durableId="437407688">
    <w:abstractNumId w:val="7"/>
  </w:num>
  <w:num w:numId="3" w16cid:durableId="516041027">
    <w:abstractNumId w:val="2"/>
  </w:num>
  <w:num w:numId="4" w16cid:durableId="880677111">
    <w:abstractNumId w:val="1"/>
  </w:num>
  <w:num w:numId="5" w16cid:durableId="1096749544">
    <w:abstractNumId w:val="0"/>
  </w:num>
  <w:num w:numId="6" w16cid:durableId="2120489553">
    <w:abstractNumId w:val="16"/>
  </w:num>
  <w:num w:numId="7" w16cid:durableId="1926962102">
    <w:abstractNumId w:val="12"/>
  </w:num>
  <w:num w:numId="8" w16cid:durableId="72899282">
    <w:abstractNumId w:val="6"/>
  </w:num>
  <w:num w:numId="9" w16cid:durableId="659119048">
    <w:abstractNumId w:val="14"/>
  </w:num>
  <w:num w:numId="10" w16cid:durableId="815953539">
    <w:abstractNumId w:val="13"/>
  </w:num>
  <w:num w:numId="11" w16cid:durableId="551236868">
    <w:abstractNumId w:val="17"/>
  </w:num>
  <w:num w:numId="12" w16cid:durableId="1093670130">
    <w:abstractNumId w:val="9"/>
  </w:num>
  <w:num w:numId="13" w16cid:durableId="769813144">
    <w:abstractNumId w:val="10"/>
  </w:num>
  <w:num w:numId="14" w16cid:durableId="312762647">
    <w:abstractNumId w:val="8"/>
  </w:num>
  <w:num w:numId="15" w16cid:durableId="282611829">
    <w:abstractNumId w:val="19"/>
  </w:num>
  <w:num w:numId="16" w16cid:durableId="1149633476">
    <w:abstractNumId w:val="15"/>
  </w:num>
  <w:num w:numId="17" w16cid:durableId="841118452">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9971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7B3"/>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3EE"/>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63D"/>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971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berdrolaespana.com/conocenos/lineas-negocio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component/chronoforms5/?chronoform=fb-622-soluciones-eficiente" TargetMode="External"/><Relationship Id="rId4" Type="http://schemas.openxmlformats.org/officeDocument/2006/relationships/settings" Target="settings.xml"/><Relationship Id="rId9" Type="http://schemas.openxmlformats.org/officeDocument/2006/relationships/hyperlink" Target="https://cecam.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785</Words>
  <Characters>4521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5296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2026-01-27T16:43:00Z</dcterms:created>
  <dcterms:modified xsi:type="dcterms:W3CDTF">2026-01-27T16:43:00Z</dcterms:modified>
</cp:coreProperties>
</file>