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1BDDED80" w14:textId="77777777" w:rsidR="00C54A2A" w:rsidRDefault="00C54A2A" w:rsidP="00C54A2A">
      <w:pPr>
        <w:jc w:val="right"/>
        <w:rPr>
          <w:rFonts w:ascii="Tahoma" w:hAnsi="Tahoma" w:cs="Tahoma"/>
          <w:bCs/>
          <w:sz w:val="22"/>
          <w:szCs w:val="22"/>
        </w:rPr>
      </w:pPr>
      <w:r>
        <w:rPr>
          <w:rFonts w:ascii="Tahoma" w:hAnsi="Tahoma" w:cs="Tahoma"/>
          <w:bCs/>
          <w:sz w:val="22"/>
          <w:szCs w:val="22"/>
        </w:rPr>
        <w:t>Albacete, 21 de abril de 2026</w:t>
      </w:r>
    </w:p>
    <w:p w14:paraId="2BED01DF" w14:textId="77777777" w:rsidR="00C54A2A" w:rsidRDefault="00C54A2A" w:rsidP="00C54A2A">
      <w:pPr>
        <w:jc w:val="right"/>
        <w:rPr>
          <w:rFonts w:ascii="Tahoma" w:hAnsi="Tahoma" w:cs="Tahoma"/>
          <w:bCs/>
          <w:sz w:val="22"/>
          <w:szCs w:val="22"/>
        </w:rPr>
      </w:pPr>
    </w:p>
    <w:p w14:paraId="195C4524" w14:textId="77777777" w:rsidR="00C54A2A" w:rsidRDefault="00C54A2A" w:rsidP="00C54A2A">
      <w:pPr>
        <w:jc w:val="right"/>
        <w:rPr>
          <w:rFonts w:ascii="Tahoma" w:hAnsi="Tahoma" w:cs="Tahoma"/>
          <w:bCs/>
          <w:sz w:val="22"/>
          <w:szCs w:val="22"/>
        </w:rPr>
      </w:pPr>
    </w:p>
    <w:p w14:paraId="03D530C0" w14:textId="77777777" w:rsidR="00C54A2A" w:rsidRDefault="00C54A2A" w:rsidP="00C54A2A">
      <w:pPr>
        <w:shd w:val="clear" w:color="auto" w:fill="FFFFFF"/>
        <w:spacing w:after="120"/>
        <w:ind w:left="-284"/>
        <w:jc w:val="center"/>
        <w:rPr>
          <w:rFonts w:ascii="Tahoma" w:hAnsi="Tahoma" w:cs="Tahoma"/>
          <w:b/>
          <w:bCs/>
          <w:sz w:val="32"/>
          <w:szCs w:val="32"/>
        </w:rPr>
      </w:pPr>
      <w:r>
        <w:rPr>
          <w:rFonts w:ascii="Tahoma" w:hAnsi="Tahoma" w:cs="Tahoma"/>
          <w:b/>
          <w:bCs/>
          <w:sz w:val="32"/>
          <w:szCs w:val="32"/>
        </w:rPr>
        <w:t xml:space="preserve">Un año más, Globalcaja y FEDA renuevan su compromiso de  colaboración y desarrollo empresarial </w:t>
      </w:r>
    </w:p>
    <w:p w14:paraId="24BBF1D8" w14:textId="77777777" w:rsidR="00C54A2A" w:rsidRDefault="00C54A2A" w:rsidP="00C54A2A">
      <w:pPr>
        <w:shd w:val="clear" w:color="auto" w:fill="FFFFFF"/>
        <w:spacing w:after="120"/>
        <w:ind w:left="-284"/>
        <w:jc w:val="center"/>
        <w:rPr>
          <w:rFonts w:ascii="Tahoma" w:hAnsi="Tahoma" w:cs="Tahoma"/>
          <w:b/>
          <w:bCs/>
          <w:sz w:val="32"/>
          <w:szCs w:val="32"/>
        </w:rPr>
      </w:pPr>
    </w:p>
    <w:p w14:paraId="5939B8DE" w14:textId="77777777" w:rsidR="00C54A2A" w:rsidRDefault="00C54A2A" w:rsidP="00C54A2A">
      <w:pPr>
        <w:pStyle w:val="Prrafodelista"/>
        <w:numPr>
          <w:ilvl w:val="0"/>
          <w:numId w:val="45"/>
        </w:numPr>
        <w:shd w:val="clear" w:color="auto" w:fill="FFFFFF"/>
        <w:spacing w:after="120" w:line="240" w:lineRule="auto"/>
        <w:jc w:val="center"/>
        <w:rPr>
          <w:rFonts w:ascii="Tahoma" w:hAnsi="Tahoma" w:cs="Tahoma"/>
          <w:b/>
          <w:bCs/>
        </w:rPr>
      </w:pPr>
      <w:r>
        <w:rPr>
          <w:rFonts w:ascii="Tahoma" w:hAnsi="Tahoma" w:cs="Tahoma"/>
          <w:b/>
          <w:bCs/>
        </w:rPr>
        <w:t xml:space="preserve">Se impulsan acciones dirigidas a la internacionalización de las empresas y el apoyo al comercio de Albacete y Globalcaja sigue siendo partner principal en la Gala de los Premios Empresariales San Juan’2026-XXVII Edición </w:t>
      </w:r>
    </w:p>
    <w:p w14:paraId="4FFB2FEC" w14:textId="77777777" w:rsidR="00C54A2A" w:rsidRDefault="00C54A2A" w:rsidP="00C54A2A">
      <w:pPr>
        <w:pStyle w:val="Prrafodelista"/>
        <w:shd w:val="clear" w:color="auto" w:fill="FFFFFF"/>
        <w:spacing w:after="120" w:line="240" w:lineRule="auto"/>
        <w:ind w:left="436"/>
        <w:rPr>
          <w:rFonts w:ascii="Tahoma" w:hAnsi="Tahoma" w:cs="Tahoma"/>
          <w:b/>
          <w:bCs/>
        </w:rPr>
      </w:pPr>
    </w:p>
    <w:p w14:paraId="16760ED8" w14:textId="77777777" w:rsidR="00C54A2A" w:rsidRDefault="00C54A2A" w:rsidP="00C54A2A">
      <w:pPr>
        <w:pStyle w:val="Prrafodelista"/>
        <w:numPr>
          <w:ilvl w:val="0"/>
          <w:numId w:val="45"/>
        </w:numPr>
        <w:shd w:val="clear" w:color="auto" w:fill="FFFFFF"/>
        <w:spacing w:after="120" w:line="240" w:lineRule="auto"/>
        <w:jc w:val="center"/>
        <w:rPr>
          <w:rFonts w:ascii="Tahoma" w:hAnsi="Tahoma" w:cs="Tahoma"/>
          <w:b/>
          <w:bCs/>
        </w:rPr>
      </w:pPr>
      <w:r>
        <w:rPr>
          <w:rFonts w:ascii="Tahoma" w:hAnsi="Tahoma" w:cs="Tahoma"/>
          <w:b/>
          <w:bCs/>
        </w:rPr>
        <w:t xml:space="preserve">Entre otras acciones, la entidad financiera patrocina la 49ª Asamblea General que la Confederación celebra mañana miércoles, día 22 de abril </w:t>
      </w:r>
    </w:p>
    <w:p w14:paraId="4A24210D" w14:textId="77777777" w:rsidR="00C54A2A" w:rsidRDefault="00C54A2A" w:rsidP="00C54A2A">
      <w:pPr>
        <w:shd w:val="clear" w:color="auto" w:fill="FFFFFF"/>
        <w:jc w:val="center"/>
        <w:rPr>
          <w:rFonts w:ascii="Tahoma" w:hAnsi="Tahoma" w:cs="Tahoma"/>
          <w:b/>
        </w:rPr>
      </w:pPr>
    </w:p>
    <w:p w14:paraId="6714CC7B" w14:textId="77777777" w:rsidR="00C54A2A" w:rsidRDefault="00C54A2A" w:rsidP="00C54A2A">
      <w:pPr>
        <w:shd w:val="clear" w:color="auto" w:fill="FFFFFF"/>
        <w:jc w:val="center"/>
        <w:rPr>
          <w:rFonts w:ascii="Tahoma" w:hAnsi="Tahoma" w:cs="Tahoma"/>
          <w:b/>
        </w:rPr>
      </w:pPr>
    </w:p>
    <w:p w14:paraId="23F585F1" w14:textId="77777777" w:rsidR="00C54A2A" w:rsidRDefault="00C54A2A" w:rsidP="00C54A2A">
      <w:pPr>
        <w:shd w:val="clear" w:color="auto" w:fill="FFFFFF"/>
        <w:rPr>
          <w:rFonts w:ascii="Tahoma" w:hAnsi="Tahoma" w:cs="Tahoma"/>
          <w:bCs/>
          <w:sz w:val="22"/>
          <w:szCs w:val="22"/>
        </w:rPr>
      </w:pPr>
    </w:p>
    <w:p w14:paraId="1D2040AD" w14:textId="77777777" w:rsidR="00C54A2A" w:rsidRDefault="00C54A2A" w:rsidP="00C54A2A">
      <w:pPr>
        <w:shd w:val="clear" w:color="auto" w:fill="FFFFFF"/>
        <w:rPr>
          <w:rFonts w:ascii="Tahoma" w:hAnsi="Tahoma" w:cs="Tahoma"/>
          <w:bCs/>
          <w:sz w:val="22"/>
          <w:szCs w:val="22"/>
        </w:rPr>
      </w:pPr>
      <w:r>
        <w:rPr>
          <w:rFonts w:ascii="Tahoma" w:hAnsi="Tahoma" w:cs="Tahoma"/>
          <w:bCs/>
          <w:sz w:val="22"/>
          <w:szCs w:val="22"/>
        </w:rPr>
        <w:t xml:space="preserve">Con la firma del convenio, el presidente de la entidad financiera, Mariano León Ejido, y el presidente de la Confederación, Artemio Pérez Alfaro, han renovado el compromiso de colaboración entre </w:t>
      </w:r>
      <w:hyperlink r:id="rId8" w:history="1">
        <w:r>
          <w:rPr>
            <w:rStyle w:val="Hipervnculo"/>
            <w:rFonts w:ascii="Tahoma" w:hAnsi="Tahoma" w:cs="Tahoma"/>
            <w:bCs/>
            <w:sz w:val="22"/>
            <w:szCs w:val="22"/>
          </w:rPr>
          <w:t>Globalcaja</w:t>
        </w:r>
      </w:hyperlink>
      <w:r>
        <w:rPr>
          <w:rFonts w:ascii="Tahoma" w:hAnsi="Tahoma" w:cs="Tahoma"/>
          <w:bCs/>
          <w:sz w:val="22"/>
          <w:szCs w:val="22"/>
        </w:rPr>
        <w:t xml:space="preserve"> y </w:t>
      </w:r>
      <w:hyperlink r:id="rId9" w:history="1">
        <w:r>
          <w:rPr>
            <w:rStyle w:val="Hipervnculo"/>
            <w:rFonts w:ascii="Tahoma" w:hAnsi="Tahoma" w:cs="Tahoma"/>
            <w:bCs/>
            <w:sz w:val="22"/>
            <w:szCs w:val="22"/>
          </w:rPr>
          <w:t>FEDA</w:t>
        </w:r>
      </w:hyperlink>
      <w:r>
        <w:rPr>
          <w:rFonts w:ascii="Tahoma" w:hAnsi="Tahoma" w:cs="Tahoma"/>
          <w:bCs/>
          <w:sz w:val="22"/>
          <w:szCs w:val="22"/>
        </w:rPr>
        <w:t xml:space="preserve">, apostando por acciones de fortalecimiento y crecimiento del tejido empresarial </w:t>
      </w:r>
    </w:p>
    <w:p w14:paraId="795DE351" w14:textId="77777777" w:rsidR="00C54A2A" w:rsidRDefault="00C54A2A" w:rsidP="00C54A2A">
      <w:pPr>
        <w:shd w:val="clear" w:color="auto" w:fill="FFFFFF"/>
        <w:rPr>
          <w:rFonts w:ascii="Tahoma" w:hAnsi="Tahoma" w:cs="Tahoma"/>
          <w:bCs/>
          <w:sz w:val="22"/>
          <w:szCs w:val="22"/>
        </w:rPr>
      </w:pPr>
    </w:p>
    <w:p w14:paraId="21E69CA7" w14:textId="77777777" w:rsidR="00C54A2A" w:rsidRDefault="00C54A2A" w:rsidP="00C54A2A">
      <w:pPr>
        <w:shd w:val="clear" w:color="auto" w:fill="FFFFFF"/>
        <w:rPr>
          <w:rFonts w:ascii="Tahoma" w:hAnsi="Tahoma" w:cs="Tahoma"/>
          <w:bCs/>
          <w:sz w:val="22"/>
          <w:szCs w:val="22"/>
        </w:rPr>
      </w:pPr>
      <w:r>
        <w:rPr>
          <w:rFonts w:ascii="Tahoma" w:hAnsi="Tahoma" w:cs="Tahoma"/>
          <w:bCs/>
          <w:sz w:val="22"/>
          <w:szCs w:val="22"/>
        </w:rPr>
        <w:t xml:space="preserve">La fortaleza del tejido empresarial de Albacete y provincia y el apoyo de Globalcaja a las empresas y autónomos, se resalta en la firma de este convenio de colaboración, reconociendo la representatividad de FEDA en Albacete y con sus delegaciones en la provincia. </w:t>
      </w:r>
    </w:p>
    <w:p w14:paraId="271480D2" w14:textId="77777777" w:rsidR="00C54A2A" w:rsidRDefault="00C54A2A" w:rsidP="00C54A2A">
      <w:pPr>
        <w:shd w:val="clear" w:color="auto" w:fill="FFFFFF"/>
        <w:rPr>
          <w:rFonts w:ascii="Tahoma" w:hAnsi="Tahoma" w:cs="Tahoma"/>
          <w:bCs/>
          <w:sz w:val="22"/>
          <w:szCs w:val="22"/>
        </w:rPr>
      </w:pPr>
    </w:p>
    <w:p w14:paraId="589EBD12" w14:textId="77777777" w:rsidR="00C54A2A" w:rsidRDefault="00C54A2A" w:rsidP="00C54A2A">
      <w:pPr>
        <w:rPr>
          <w:rFonts w:ascii="Tahoma" w:hAnsi="Tahoma" w:cs="Tahoma"/>
          <w:color w:val="000000" w:themeColor="text1"/>
          <w:sz w:val="22"/>
          <w:szCs w:val="22"/>
        </w:rPr>
      </w:pPr>
      <w:r>
        <w:rPr>
          <w:rFonts w:ascii="Tahoma" w:hAnsi="Tahoma" w:cs="Tahoma"/>
          <w:color w:val="000000" w:themeColor="text1"/>
          <w:sz w:val="22"/>
          <w:szCs w:val="22"/>
        </w:rPr>
        <w:t>El presidente de Globalcaja, Mariano León, quien ha agradecido a FEDA y, especialmente, a su presidente, Artemio Pérez, la labor que realiza la Confederación por el desarrollo y crecimiento empresarial en Albacete, ha valorado la estrecha colaboración que mantienen ambas organizaciones.</w:t>
      </w:r>
    </w:p>
    <w:p w14:paraId="5CC85200" w14:textId="77777777" w:rsidR="00C54A2A" w:rsidRDefault="00C54A2A" w:rsidP="00C54A2A">
      <w:pPr>
        <w:rPr>
          <w:rFonts w:ascii="Tahoma" w:hAnsi="Tahoma" w:cs="Tahoma"/>
          <w:color w:val="000000" w:themeColor="text1"/>
          <w:sz w:val="22"/>
          <w:szCs w:val="22"/>
        </w:rPr>
      </w:pPr>
    </w:p>
    <w:p w14:paraId="0BFEAA83" w14:textId="77777777" w:rsidR="00C54A2A" w:rsidRDefault="00C54A2A" w:rsidP="00C54A2A">
      <w:pPr>
        <w:rPr>
          <w:rFonts w:ascii="Tahoma" w:hAnsi="Tahoma" w:cs="Tahoma"/>
          <w:color w:val="000000" w:themeColor="text1"/>
          <w:sz w:val="22"/>
          <w:szCs w:val="22"/>
        </w:rPr>
      </w:pPr>
      <w:r>
        <w:rPr>
          <w:rFonts w:ascii="Tahoma" w:hAnsi="Tahoma" w:cs="Tahoma"/>
          <w:color w:val="000000" w:themeColor="text1"/>
          <w:sz w:val="22"/>
          <w:szCs w:val="22"/>
        </w:rPr>
        <w:t>“Hoy renovamos un acuerdo, pero, sobre todo, renovamos una forma de entender nuestro papel en esta tierra. En Globalcaja queremos seguir siendo la entidad financiera que acompaña a las empresas y a los autónomos de Albacete en sus proyectos, en sus retos y también en sus oportunidades de futuro”, ha destacado Mariano León. El presidente de Globalcaja, ha añadido, que esta colaboración con FEDA “refleja una alianza sólida entre dos instituciones comprometidas con el desarrollo económico de la provincia. Compartimos un mismo objetivo: fortalecer el tejido empresarial, apoyar al comercio, favorecer la innovación, la sostenibilidad y la digitalización, e impulsar la apertura de nuestras empresas a nuevos mercados”.</w:t>
      </w:r>
    </w:p>
    <w:p w14:paraId="43E01544" w14:textId="77777777" w:rsidR="00C54A2A" w:rsidRDefault="00C54A2A" w:rsidP="00C54A2A">
      <w:pPr>
        <w:rPr>
          <w:rFonts w:ascii="Tahoma" w:hAnsi="Tahoma" w:cs="Tahoma"/>
          <w:color w:val="000000" w:themeColor="text1"/>
          <w:sz w:val="22"/>
          <w:szCs w:val="22"/>
        </w:rPr>
      </w:pPr>
    </w:p>
    <w:p w14:paraId="069CBBF5" w14:textId="77777777" w:rsidR="00C54A2A" w:rsidRDefault="00C54A2A" w:rsidP="00C54A2A">
      <w:pPr>
        <w:rPr>
          <w:rFonts w:ascii="Tahoma" w:hAnsi="Tahoma" w:cs="Tahoma"/>
          <w:color w:val="000000" w:themeColor="text1"/>
          <w:sz w:val="22"/>
          <w:szCs w:val="22"/>
        </w:rPr>
      </w:pPr>
      <w:r>
        <w:rPr>
          <w:rFonts w:ascii="Tahoma" w:hAnsi="Tahoma" w:cs="Tahoma"/>
          <w:color w:val="000000" w:themeColor="text1"/>
          <w:sz w:val="22"/>
          <w:szCs w:val="22"/>
        </w:rPr>
        <w:t xml:space="preserve">Por su parte, Artemio Pérez, ha destacado el grado de colaboración que la Confederación mantiene con Globalcaja, como entidad financiera de referencia en la provincia, y ha agradecido a su presidente que un año más se vuelva a renovar esta colaboración, poniendo de relieve el apoyo que la entidad presta así a las empresas de Albacete. </w:t>
      </w:r>
    </w:p>
    <w:p w14:paraId="45E348D8" w14:textId="77777777" w:rsidR="00C54A2A" w:rsidRDefault="00C54A2A" w:rsidP="00C54A2A">
      <w:pPr>
        <w:rPr>
          <w:rFonts w:ascii="Tahoma" w:hAnsi="Tahoma" w:cs="Tahoma"/>
          <w:color w:val="000000" w:themeColor="text1"/>
          <w:sz w:val="22"/>
          <w:szCs w:val="22"/>
        </w:rPr>
      </w:pPr>
    </w:p>
    <w:p w14:paraId="3B6E7211" w14:textId="77777777" w:rsidR="00C54A2A" w:rsidRDefault="00C54A2A" w:rsidP="00C54A2A">
      <w:pPr>
        <w:rPr>
          <w:rFonts w:ascii="Tahoma" w:hAnsi="Tahoma" w:cs="Tahoma"/>
          <w:color w:val="000000" w:themeColor="text1"/>
          <w:sz w:val="22"/>
          <w:szCs w:val="22"/>
        </w:rPr>
      </w:pPr>
      <w:r>
        <w:rPr>
          <w:rFonts w:ascii="Tahoma" w:hAnsi="Tahoma" w:cs="Tahoma"/>
          <w:color w:val="000000" w:themeColor="text1"/>
          <w:sz w:val="22"/>
          <w:szCs w:val="22"/>
        </w:rPr>
        <w:t>Al mismo tiempo, el presidente de FEDA ha recordado al presidente de Globalcaja que el equipo de la entidad tiene en la sede de la Confederación unas instalaciones modernas y funcionales de las que hacen uso para reuniones de trabajo con sus equipos técnicos y para acciones formativas.</w:t>
      </w:r>
    </w:p>
    <w:p w14:paraId="171AC9B9" w14:textId="77777777" w:rsidR="00C54A2A" w:rsidRDefault="00C54A2A" w:rsidP="00C54A2A">
      <w:pPr>
        <w:rPr>
          <w:rFonts w:ascii="Tahoma" w:hAnsi="Tahoma" w:cs="Tahoma"/>
          <w:color w:val="000000" w:themeColor="text1"/>
          <w:sz w:val="22"/>
          <w:szCs w:val="22"/>
        </w:rPr>
      </w:pPr>
    </w:p>
    <w:p w14:paraId="7161BFF4" w14:textId="77777777" w:rsidR="00C54A2A" w:rsidRDefault="00C54A2A" w:rsidP="00C54A2A">
      <w:pPr>
        <w:rPr>
          <w:rFonts w:ascii="Tahoma" w:hAnsi="Tahoma" w:cs="Tahoma"/>
          <w:sz w:val="22"/>
          <w:szCs w:val="22"/>
        </w:rPr>
      </w:pPr>
    </w:p>
    <w:p w14:paraId="5D561533" w14:textId="4E0DEAB3" w:rsidR="00C54A2A" w:rsidRDefault="00C54A2A" w:rsidP="00C54A2A">
      <w:pPr>
        <w:rPr>
          <w:rFonts w:ascii="Tahoma" w:hAnsi="Tahoma" w:cs="Tahoma"/>
          <w:color w:val="000000" w:themeColor="text1"/>
          <w:sz w:val="22"/>
          <w:szCs w:val="22"/>
        </w:rPr>
      </w:pPr>
      <w:r>
        <w:rPr>
          <w:rFonts w:ascii="Tahoma" w:hAnsi="Tahoma" w:cs="Tahoma"/>
          <w:sz w:val="22"/>
          <w:szCs w:val="22"/>
        </w:rPr>
        <w:t xml:space="preserve">La Asamblea General de FEDA, en su edición 49ª, que se celebra mañana, día 22 de abril, cuenta con la colaboración de Globalcaja y, sobre manera, resalta en esta colaboración y así lo recoge el convenio el hecho de que la entidad sea partner preferente en los </w:t>
      </w:r>
      <w:hyperlink r:id="rId10" w:history="1">
        <w:r>
          <w:rPr>
            <w:rStyle w:val="Hipervnculo"/>
            <w:rFonts w:ascii="Tahoma" w:hAnsi="Tahoma" w:cs="Tahoma"/>
            <w:sz w:val="22"/>
            <w:szCs w:val="22"/>
          </w:rPr>
          <w:t>Premios Empresariales San Juan,’2026-XXVII Edición</w:t>
        </w:r>
      </w:hyperlink>
      <w:r>
        <w:rPr>
          <w:rFonts w:ascii="Tahoma" w:hAnsi="Tahoma" w:cs="Tahoma"/>
          <w:sz w:val="22"/>
          <w:szCs w:val="22"/>
        </w:rPr>
        <w:t xml:space="preserve">, como patrocinadora de la Gala, que se celebrará el próximo día 26 de junio, en el Teatro de la Paz. </w:t>
      </w:r>
    </w:p>
    <w:p w14:paraId="4A781AB8" w14:textId="77777777" w:rsidR="00C54A2A" w:rsidRDefault="00C54A2A" w:rsidP="00C54A2A">
      <w:pPr>
        <w:rPr>
          <w:rFonts w:ascii="Tahoma" w:hAnsi="Tahoma" w:cs="Tahoma"/>
          <w:color w:val="000000" w:themeColor="text1"/>
          <w:sz w:val="22"/>
          <w:szCs w:val="22"/>
        </w:rPr>
      </w:pPr>
    </w:p>
    <w:p w14:paraId="7CA5F2D6" w14:textId="77777777" w:rsidR="00C54A2A" w:rsidRDefault="00C54A2A" w:rsidP="00C54A2A">
      <w:pPr>
        <w:rPr>
          <w:rFonts w:ascii="Tahoma" w:hAnsi="Tahoma" w:cs="Tahoma"/>
          <w:b/>
          <w:bCs/>
          <w:sz w:val="22"/>
          <w:szCs w:val="22"/>
        </w:rPr>
      </w:pPr>
      <w:r>
        <w:rPr>
          <w:rFonts w:ascii="Tahoma" w:hAnsi="Tahoma" w:cs="Tahoma"/>
          <w:b/>
          <w:bCs/>
          <w:sz w:val="22"/>
          <w:szCs w:val="22"/>
        </w:rPr>
        <w:t>Abrir mercado en Brasil</w:t>
      </w:r>
    </w:p>
    <w:p w14:paraId="0561EE76" w14:textId="77777777" w:rsidR="00C54A2A" w:rsidRDefault="00C54A2A" w:rsidP="00C54A2A">
      <w:pPr>
        <w:rPr>
          <w:rFonts w:ascii="Tahoma" w:hAnsi="Tahoma" w:cs="Tahoma"/>
          <w:sz w:val="22"/>
          <w:szCs w:val="22"/>
        </w:rPr>
      </w:pPr>
    </w:p>
    <w:p w14:paraId="1905DBF1" w14:textId="77777777" w:rsidR="00C54A2A" w:rsidRDefault="00C54A2A" w:rsidP="00C54A2A">
      <w:pPr>
        <w:rPr>
          <w:rFonts w:ascii="Tahoma" w:hAnsi="Tahoma" w:cs="Tahoma"/>
          <w:sz w:val="22"/>
          <w:szCs w:val="22"/>
        </w:rPr>
      </w:pPr>
      <w:r>
        <w:rPr>
          <w:rFonts w:ascii="Tahoma" w:hAnsi="Tahoma" w:cs="Tahoma"/>
          <w:sz w:val="22"/>
          <w:szCs w:val="22"/>
        </w:rPr>
        <w:t xml:space="preserve">Además, en virtud de este convenio, la entidad financiera colaborará en el impulso de las acciones de promoción del sector del comercio que lleva a cabo la </w:t>
      </w:r>
      <w:hyperlink r:id="rId11" w:history="1">
        <w:r>
          <w:rPr>
            <w:rStyle w:val="Hipervnculo"/>
            <w:rFonts w:ascii="Tahoma" w:hAnsi="Tahoma" w:cs="Tahoma"/>
            <w:sz w:val="22"/>
            <w:szCs w:val="22"/>
          </w:rPr>
          <w:t>Federación de Comercio de Albacete (FECOM)</w:t>
        </w:r>
      </w:hyperlink>
      <w:r>
        <w:rPr>
          <w:rFonts w:ascii="Tahoma" w:hAnsi="Tahoma" w:cs="Tahoma"/>
          <w:sz w:val="22"/>
          <w:szCs w:val="22"/>
        </w:rPr>
        <w:t xml:space="preserve">, entendiendo que este sector tiene un peso específico importante en la economía local. </w:t>
      </w:r>
    </w:p>
    <w:p w14:paraId="10D37370" w14:textId="77777777" w:rsidR="00C54A2A" w:rsidRDefault="00C54A2A" w:rsidP="00C54A2A">
      <w:pPr>
        <w:rPr>
          <w:rFonts w:ascii="Tahoma" w:hAnsi="Tahoma" w:cs="Tahoma"/>
          <w:sz w:val="22"/>
          <w:szCs w:val="22"/>
        </w:rPr>
      </w:pPr>
    </w:p>
    <w:p w14:paraId="1B003CB9" w14:textId="77777777" w:rsidR="00C54A2A" w:rsidRDefault="00C54A2A" w:rsidP="00C54A2A">
      <w:pPr>
        <w:spacing w:after="160"/>
        <w:rPr>
          <w:rFonts w:ascii="Tahoma" w:hAnsi="Tahoma" w:cs="Tahoma"/>
          <w:color w:val="002060"/>
          <w:sz w:val="22"/>
          <w:szCs w:val="22"/>
          <w:lang w:val="es-ES"/>
        </w:rPr>
      </w:pPr>
      <w:r>
        <w:rPr>
          <w:rFonts w:ascii="Tahoma" w:hAnsi="Tahoma" w:cs="Tahoma"/>
          <w:sz w:val="22"/>
          <w:szCs w:val="22"/>
        </w:rPr>
        <w:t xml:space="preserve">Igualmente, Globalcaja participa en </w:t>
      </w:r>
      <w:hyperlink r:id="rId12" w:history="1">
        <w:r>
          <w:rPr>
            <w:rStyle w:val="Hipervnculo"/>
            <w:rFonts w:ascii="Tahoma" w:hAnsi="Tahoma" w:cs="Tahoma"/>
            <w:sz w:val="22"/>
            <w:szCs w:val="22"/>
          </w:rPr>
          <w:t>‘In-FEDA 2026’</w:t>
        </w:r>
      </w:hyperlink>
      <w:r>
        <w:rPr>
          <w:rFonts w:ascii="Tahoma" w:hAnsi="Tahoma" w:cs="Tahoma"/>
          <w:sz w:val="22"/>
          <w:szCs w:val="22"/>
        </w:rPr>
        <w:t xml:space="preserve">. Este año será el tercer taller práctico </w:t>
      </w:r>
      <w:hyperlink r:id="rId13" w:history="1">
        <w:r>
          <w:rPr>
            <w:rStyle w:val="Hipervnculo"/>
            <w:rFonts w:ascii="Tahoma" w:hAnsi="Tahoma" w:cs="Tahoma"/>
            <w:color w:val="0563C1"/>
            <w:sz w:val="22"/>
            <w:szCs w:val="22"/>
          </w:rPr>
          <w:t>Brasil: Oportunidades, expansión y negociación</w:t>
        </w:r>
      </w:hyperlink>
      <w:r>
        <w:rPr>
          <w:rFonts w:ascii="Tahoma" w:hAnsi="Tahoma" w:cs="Tahoma"/>
          <w:color w:val="002060"/>
          <w:sz w:val="22"/>
          <w:szCs w:val="22"/>
        </w:rPr>
        <w:t xml:space="preserve"> </w:t>
      </w:r>
      <w:r>
        <w:rPr>
          <w:rFonts w:ascii="Tahoma" w:hAnsi="Tahoma" w:cs="Tahoma"/>
          <w:sz w:val="22"/>
          <w:szCs w:val="22"/>
        </w:rPr>
        <w:t>que tendrá lugar este viernes</w:t>
      </w:r>
      <w:r>
        <w:rPr>
          <w:rFonts w:ascii="Tahoma" w:hAnsi="Tahoma" w:cs="Tahoma"/>
          <w:color w:val="002060"/>
          <w:sz w:val="22"/>
          <w:szCs w:val="22"/>
        </w:rPr>
        <w:t xml:space="preserve">, </w:t>
      </w:r>
      <w:r>
        <w:rPr>
          <w:rFonts w:ascii="Tahoma" w:hAnsi="Tahoma" w:cs="Tahoma"/>
          <w:sz w:val="22"/>
          <w:szCs w:val="22"/>
        </w:rPr>
        <w:t xml:space="preserve">24 de abril a las 10:00h en nuestra </w:t>
      </w:r>
      <w:hyperlink r:id="rId14" w:history="1">
        <w:r>
          <w:rPr>
            <w:rStyle w:val="Hipervnculo"/>
            <w:rFonts w:ascii="Tahoma" w:hAnsi="Tahoma" w:cs="Tahoma"/>
            <w:color w:val="0563C1"/>
            <w:sz w:val="22"/>
            <w:szCs w:val="22"/>
          </w:rPr>
          <w:t>Sede de FEDA en Albacete</w:t>
        </w:r>
      </w:hyperlink>
      <w:r>
        <w:rPr>
          <w:rFonts w:ascii="Tahoma" w:hAnsi="Tahoma" w:cs="Tahoma"/>
          <w:color w:val="002060"/>
          <w:sz w:val="22"/>
          <w:szCs w:val="22"/>
        </w:rPr>
        <w:t xml:space="preserve">. </w:t>
      </w:r>
      <w:r>
        <w:rPr>
          <w:rFonts w:ascii="Tahoma" w:hAnsi="Tahoma" w:cs="Tahoma"/>
          <w:sz w:val="22"/>
          <w:szCs w:val="22"/>
        </w:rPr>
        <w:t xml:space="preserve">Para este programa tendremos la participación de Carlos Fernández, subdirector de la Cámara Española en Brasil, quien cuenta con una amplia experiencia en sinergología, negociación estratégica y el análisis conductual aplicado, además de más 30 años de experiencia como director financiero en diversas firmas. </w:t>
      </w:r>
    </w:p>
    <w:p w14:paraId="73263F0D" w14:textId="77777777" w:rsidR="00C54A2A" w:rsidRDefault="00C54A2A" w:rsidP="00C54A2A">
      <w:pPr>
        <w:spacing w:after="160"/>
        <w:rPr>
          <w:rFonts w:ascii="Tahoma" w:hAnsi="Tahoma" w:cs="Tahoma"/>
          <w:sz w:val="22"/>
          <w:szCs w:val="22"/>
          <w:highlight w:val="yellow"/>
        </w:rPr>
      </w:pPr>
      <w:r>
        <w:rPr>
          <w:rFonts w:ascii="Tahoma" w:hAnsi="Tahoma" w:cs="Tahoma"/>
          <w:sz w:val="22"/>
          <w:szCs w:val="22"/>
        </w:rPr>
        <w:t xml:space="preserve">Su experiencia nos va a permitir conocer el enfoque y la estrategia a seguir para </w:t>
      </w:r>
      <w:r>
        <w:rPr>
          <w:rFonts w:ascii="Tahoma" w:hAnsi="Tahoma" w:cs="Tahoma"/>
          <w:sz w:val="22"/>
          <w:szCs w:val="22"/>
          <w:u w:val="single"/>
        </w:rPr>
        <w:t>ampliar y abrir mercado en Brasil,</w:t>
      </w:r>
      <w:r>
        <w:rPr>
          <w:rFonts w:ascii="Tahoma" w:hAnsi="Tahoma" w:cs="Tahoma"/>
          <w:sz w:val="22"/>
          <w:szCs w:val="22"/>
        </w:rPr>
        <w:t xml:space="preserve"> obteniendo una clara imagen de los principales sectores de interés, así como las estrategias de negociación. </w:t>
      </w:r>
    </w:p>
    <w:p w14:paraId="1D4DB841" w14:textId="77777777" w:rsidR="00C54A2A" w:rsidRDefault="00C54A2A" w:rsidP="00C54A2A">
      <w:pPr>
        <w:rPr>
          <w:rFonts w:ascii="Tahoma" w:hAnsi="Tahoma" w:cs="Tahoma"/>
          <w:sz w:val="22"/>
          <w:szCs w:val="22"/>
        </w:rPr>
      </w:pPr>
    </w:p>
    <w:p w14:paraId="49A26A0F" w14:textId="77777777" w:rsidR="00C54A2A" w:rsidRDefault="00C54A2A" w:rsidP="00C54A2A">
      <w:pPr>
        <w:rPr>
          <w:rFonts w:ascii="Tahoma" w:hAnsi="Tahoma" w:cs="Tahoma"/>
          <w:sz w:val="22"/>
          <w:szCs w:val="22"/>
        </w:rPr>
      </w:pPr>
      <w:r>
        <w:rPr>
          <w:rFonts w:ascii="Tahoma" w:hAnsi="Tahoma" w:cs="Tahoma"/>
          <w:sz w:val="22"/>
          <w:szCs w:val="22"/>
        </w:rPr>
        <w:t xml:space="preserve">El acuerdo con firmado hoy también contempla el trabajo conjunto de la </w:t>
      </w:r>
      <w:hyperlink r:id="rId15" w:history="1">
        <w:r>
          <w:rPr>
            <w:rStyle w:val="Hipervnculo"/>
            <w:rFonts w:ascii="Tahoma" w:hAnsi="Tahoma" w:cs="Tahoma"/>
            <w:sz w:val="22"/>
            <w:szCs w:val="22"/>
          </w:rPr>
          <w:t>Asociación de Importadores y Exportadores de Albacete (ADIEX)</w:t>
        </w:r>
      </w:hyperlink>
      <w:r>
        <w:rPr>
          <w:rFonts w:ascii="Tahoma" w:hAnsi="Tahoma" w:cs="Tahoma"/>
          <w:sz w:val="22"/>
          <w:szCs w:val="22"/>
        </w:rPr>
        <w:t xml:space="preserve">, con el programa de Globalcaja ‘Exporta Tu Valor’, con el propósito de fomentar e incentivar la expansión internacional de las empresas de Albacete. </w:t>
      </w:r>
    </w:p>
    <w:p w14:paraId="76CB901F" w14:textId="77777777" w:rsidR="00C54A2A" w:rsidRDefault="00C54A2A" w:rsidP="00C54A2A">
      <w:pPr>
        <w:rPr>
          <w:rFonts w:ascii="Tahoma" w:hAnsi="Tahoma" w:cs="Tahoma"/>
          <w:sz w:val="22"/>
          <w:szCs w:val="22"/>
        </w:rPr>
      </w:pPr>
    </w:p>
    <w:p w14:paraId="7A64EAD2" w14:textId="77777777" w:rsidR="00C54A2A" w:rsidRDefault="00C54A2A" w:rsidP="00C54A2A">
      <w:pPr>
        <w:rPr>
          <w:rFonts w:ascii="Tahoma" w:hAnsi="Tahoma" w:cs="Tahoma"/>
          <w:sz w:val="22"/>
          <w:szCs w:val="22"/>
        </w:rPr>
      </w:pPr>
    </w:p>
    <w:p w14:paraId="55975897" w14:textId="77777777" w:rsidR="00AF00CF" w:rsidRDefault="00AF00CF" w:rsidP="008E2EFC">
      <w:pPr>
        <w:jc w:val="right"/>
        <w:rPr>
          <w:rFonts w:ascii="Tahoma" w:hAnsi="Tahoma" w:cs="Tahoma"/>
          <w:bCs/>
          <w:sz w:val="22"/>
          <w:szCs w:val="22"/>
        </w:rPr>
      </w:pPr>
    </w:p>
    <w:sectPr w:rsidR="00AF00CF" w:rsidSect="00702694">
      <w:headerReference w:type="default" r:id="rId16"/>
      <w:footerReference w:type="even" r:id="rId17"/>
      <w:footerReference w:type="default" r:id="rId1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0C759" w14:textId="77777777" w:rsidR="009E468F" w:rsidRDefault="009E468F">
      <w:r>
        <w:separator/>
      </w:r>
    </w:p>
  </w:endnote>
  <w:endnote w:type="continuationSeparator" w:id="0">
    <w:p w14:paraId="6E37FBE4" w14:textId="77777777" w:rsidR="009E468F" w:rsidRDefault="009E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FBCEB" w14:textId="77777777" w:rsidR="009E468F" w:rsidRDefault="009E468F">
      <w:r>
        <w:separator/>
      </w:r>
    </w:p>
  </w:footnote>
  <w:footnote w:type="continuationSeparator" w:id="0">
    <w:p w14:paraId="7B0F2961" w14:textId="77777777" w:rsidR="009E468F" w:rsidRDefault="009E46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AF3818"/>
    <w:multiLevelType w:val="hybridMultilevel"/>
    <w:tmpl w:val="51886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13"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0B15B7"/>
    <w:multiLevelType w:val="hybridMultilevel"/>
    <w:tmpl w:val="86B2F68A"/>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9"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4"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3470A5"/>
    <w:multiLevelType w:val="hybridMultilevel"/>
    <w:tmpl w:val="5290AE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233EE9"/>
    <w:multiLevelType w:val="hybridMultilevel"/>
    <w:tmpl w:val="7B6428F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7"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1"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44" w15:restartNumberingAfterBreak="0">
    <w:nsid w:val="788B3C4D"/>
    <w:multiLevelType w:val="hybridMultilevel"/>
    <w:tmpl w:val="2A8EF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40"/>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37"/>
  </w:num>
  <w:num w:numId="7" w16cid:durableId="1926962102">
    <w:abstractNumId w:val="24"/>
  </w:num>
  <w:num w:numId="8" w16cid:durableId="72899282">
    <w:abstractNumId w:val="6"/>
  </w:num>
  <w:num w:numId="9" w16cid:durableId="659119048">
    <w:abstractNumId w:val="28"/>
  </w:num>
  <w:num w:numId="10" w16cid:durableId="815953539">
    <w:abstractNumId w:val="27"/>
  </w:num>
  <w:num w:numId="11" w16cid:durableId="551236868">
    <w:abstractNumId w:val="39"/>
  </w:num>
  <w:num w:numId="12" w16cid:durableId="1093670130">
    <w:abstractNumId w:val="17"/>
  </w:num>
  <w:num w:numId="13" w16cid:durableId="769813144">
    <w:abstractNumId w:val="22"/>
  </w:num>
  <w:num w:numId="14" w16cid:durableId="312762647">
    <w:abstractNumId w:val="14"/>
  </w:num>
  <w:num w:numId="15" w16cid:durableId="282611829">
    <w:abstractNumId w:val="46"/>
  </w:num>
  <w:num w:numId="16" w16cid:durableId="1149633476">
    <w:abstractNumId w:val="35"/>
  </w:num>
  <w:num w:numId="17" w16cid:durableId="841118452">
    <w:abstractNumId w:val="23"/>
  </w:num>
  <w:num w:numId="18" w16cid:durableId="141389452">
    <w:abstractNumId w:val="32"/>
  </w:num>
  <w:num w:numId="19" w16cid:durableId="1548571133">
    <w:abstractNumId w:val="8"/>
  </w:num>
  <w:num w:numId="20" w16cid:durableId="1792625720">
    <w:abstractNumId w:val="26"/>
  </w:num>
  <w:num w:numId="21" w16cid:durableId="1085760528">
    <w:abstractNumId w:val="15"/>
  </w:num>
  <w:num w:numId="22" w16cid:durableId="1280139623">
    <w:abstractNumId w:val="20"/>
  </w:num>
  <w:num w:numId="23" w16cid:durableId="930040883">
    <w:abstractNumId w:val="43"/>
  </w:num>
  <w:num w:numId="24" w16cid:durableId="513082369">
    <w:abstractNumId w:val="29"/>
  </w:num>
  <w:num w:numId="25" w16cid:durableId="1508250966">
    <w:abstractNumId w:val="30"/>
  </w:num>
  <w:num w:numId="26" w16cid:durableId="1129469955">
    <w:abstractNumId w:val="25"/>
  </w:num>
  <w:num w:numId="27" w16cid:durableId="872155790">
    <w:abstractNumId w:val="9"/>
  </w:num>
  <w:num w:numId="28" w16cid:durableId="1565601364">
    <w:abstractNumId w:val="33"/>
  </w:num>
  <w:num w:numId="29" w16cid:durableId="1532258662">
    <w:abstractNumId w:val="21"/>
  </w:num>
  <w:num w:numId="30" w16cid:durableId="2034962268">
    <w:abstractNumId w:val="19"/>
  </w:num>
  <w:num w:numId="31" w16cid:durableId="232543526">
    <w:abstractNumId w:val="10"/>
  </w:num>
  <w:num w:numId="32" w16cid:durableId="1508978152">
    <w:abstractNumId w:val="45"/>
  </w:num>
  <w:num w:numId="33" w16cid:durableId="486943244">
    <w:abstractNumId w:val="38"/>
  </w:num>
  <w:num w:numId="34" w16cid:durableId="1868135473">
    <w:abstractNumId w:val="13"/>
  </w:num>
  <w:num w:numId="35" w16cid:durableId="24410244">
    <w:abstractNumId w:val="42"/>
  </w:num>
  <w:num w:numId="36" w16cid:durableId="1840657249">
    <w:abstractNumId w:val="41"/>
  </w:num>
  <w:num w:numId="37" w16cid:durableId="174923293">
    <w:abstractNumId w:val="16"/>
  </w:num>
  <w:num w:numId="38" w16cid:durableId="570431539">
    <w:abstractNumId w:val="34"/>
  </w:num>
  <w:num w:numId="39" w16cid:durableId="1233269742">
    <w:abstractNumId w:val="44"/>
  </w:num>
  <w:num w:numId="40" w16cid:durableId="1458642363">
    <w:abstractNumId w:val="31"/>
  </w:num>
  <w:num w:numId="41" w16cid:durableId="465507999">
    <w:abstractNumId w:val="11"/>
  </w:num>
  <w:num w:numId="42" w16cid:durableId="987243713">
    <w:abstractNumId w:val="12"/>
  </w:num>
  <w:num w:numId="43" w16cid:durableId="935555842">
    <w:abstractNumId w:val="36"/>
  </w:num>
  <w:num w:numId="44" w16cid:durableId="380176384">
    <w:abstractNumId w:val="18"/>
  </w:num>
  <w:num w:numId="45" w16cid:durableId="586620636">
    <w:abstractNumId w:val="36"/>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68F"/>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4A2A"/>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31"/>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C5A"/>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empresas" TargetMode="External"/><Relationship Id="rId13" Type="http://schemas.openxmlformats.org/officeDocument/2006/relationships/hyperlink" Target="https://www.feda.es/in-feda-2026/brasil-oportunidades-expansion-negociacio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in-feda-202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7662-federacion-de-comercio-de-albacete" TargetMode="External"/><Relationship Id="rId5" Type="http://schemas.openxmlformats.org/officeDocument/2006/relationships/webSettings" Target="webSettings.xml"/><Relationship Id="rId15" Type="http://schemas.openxmlformats.org/officeDocument/2006/relationships/hyperlink" Target="https://www.adiex.es/es/" TargetMode="External"/><Relationship Id="rId10" Type="http://schemas.openxmlformats.org/officeDocument/2006/relationships/hyperlink" Target="https://www.feda.es/feda/premios-san-juan/edicion-202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feda/nuestro-equipo/4-sede-central-albacete"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771</Words>
  <Characters>4242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5003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2026-04-21T09:04:00Z</dcterms:created>
  <dcterms:modified xsi:type="dcterms:W3CDTF">2026-04-21T11:35:00Z</dcterms:modified>
</cp:coreProperties>
</file>