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F9C2C" w14:textId="75B1547E" w:rsidR="00DD44BF" w:rsidRDefault="00DD44BF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4EF1677D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7BE2B91F" w14:textId="3C86C930" w:rsidR="0036042E" w:rsidRDefault="0036042E" w:rsidP="0036042E">
      <w:pPr>
        <w:jc w:val="right"/>
        <w:rPr>
          <w:rFonts w:ascii="Tahoma" w:hAnsi="Tahoma" w:cs="Tahoma"/>
          <w:bCs/>
          <w:sz w:val="22"/>
          <w:szCs w:val="22"/>
        </w:rPr>
      </w:pPr>
      <w:r w:rsidRPr="0036042E">
        <w:rPr>
          <w:rFonts w:ascii="Tahoma" w:hAnsi="Tahoma" w:cs="Tahoma"/>
          <w:bCs/>
          <w:sz w:val="22"/>
          <w:szCs w:val="22"/>
        </w:rPr>
        <w:t>Albacete,</w:t>
      </w:r>
      <w:r w:rsidR="00DB0B7B">
        <w:rPr>
          <w:rFonts w:ascii="Tahoma" w:hAnsi="Tahoma" w:cs="Tahoma"/>
          <w:bCs/>
          <w:sz w:val="22"/>
          <w:szCs w:val="22"/>
        </w:rPr>
        <w:t xml:space="preserve"> </w:t>
      </w:r>
      <w:r w:rsidR="00C84A02">
        <w:rPr>
          <w:rFonts w:ascii="Tahoma" w:hAnsi="Tahoma" w:cs="Tahoma"/>
          <w:bCs/>
          <w:sz w:val="22"/>
          <w:szCs w:val="22"/>
        </w:rPr>
        <w:t>10</w:t>
      </w:r>
      <w:r w:rsidRPr="0036042E">
        <w:rPr>
          <w:rFonts w:ascii="Tahoma" w:hAnsi="Tahoma" w:cs="Tahoma"/>
          <w:bCs/>
          <w:sz w:val="22"/>
          <w:szCs w:val="22"/>
        </w:rPr>
        <w:t xml:space="preserve"> de junio de 2026</w:t>
      </w:r>
    </w:p>
    <w:p w14:paraId="07B230C2" w14:textId="77777777" w:rsidR="00C84A02" w:rsidRDefault="00C84A02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p w14:paraId="172D6DE1" w14:textId="77777777" w:rsidR="00C84A02" w:rsidRDefault="00C84A02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p w14:paraId="146ED0AB" w14:textId="77777777" w:rsidR="00C84A02" w:rsidRDefault="00C84A02" w:rsidP="00C84A02">
      <w:pPr>
        <w:jc w:val="center"/>
        <w:rPr>
          <w:rFonts w:ascii="Tahoma" w:hAnsi="Tahoma" w:cs="Tahoma"/>
          <w:b/>
          <w:sz w:val="32"/>
          <w:szCs w:val="32"/>
        </w:rPr>
      </w:pPr>
      <w:r w:rsidRPr="00C84A02">
        <w:rPr>
          <w:rFonts w:ascii="Tahoma" w:hAnsi="Tahoma" w:cs="Tahoma"/>
          <w:b/>
          <w:sz w:val="32"/>
          <w:szCs w:val="32"/>
        </w:rPr>
        <w:t>Acuerdo del Comité Ejecutivo y Junta Directiva de FEDA en apoyo al sector de la cuchillería de Albacete</w:t>
      </w:r>
    </w:p>
    <w:p w14:paraId="1A5A367D" w14:textId="77777777" w:rsidR="00BF454B" w:rsidRDefault="00BF454B" w:rsidP="00C84A02">
      <w:pPr>
        <w:jc w:val="center"/>
        <w:rPr>
          <w:rFonts w:ascii="Tahoma" w:hAnsi="Tahoma" w:cs="Tahoma"/>
          <w:b/>
          <w:sz w:val="32"/>
          <w:szCs w:val="32"/>
        </w:rPr>
      </w:pPr>
    </w:p>
    <w:p w14:paraId="35BCC556" w14:textId="3412A496" w:rsidR="00BF454B" w:rsidRDefault="00BF454B" w:rsidP="00BF454B">
      <w:pPr>
        <w:pStyle w:val="Prrafodelista"/>
        <w:numPr>
          <w:ilvl w:val="0"/>
          <w:numId w:val="14"/>
        </w:numPr>
        <w:spacing w:line="240" w:lineRule="auto"/>
        <w:ind w:left="142" w:hanging="142"/>
        <w:jc w:val="center"/>
        <w:rPr>
          <w:rFonts w:ascii="Tahoma" w:hAnsi="Tahoma" w:cs="Tahoma"/>
          <w:b/>
        </w:rPr>
      </w:pPr>
      <w:r w:rsidRPr="00BF454B">
        <w:rPr>
          <w:rFonts w:ascii="Tahoma" w:hAnsi="Tahoma" w:cs="Tahoma"/>
          <w:b/>
        </w:rPr>
        <w:t>La Confederación asume</w:t>
      </w:r>
      <w:r w:rsidRPr="00BF454B">
        <w:rPr>
          <w:rFonts w:ascii="Tahoma" w:hAnsi="Tahoma" w:cs="Tahoma"/>
          <w:b/>
        </w:rPr>
        <w:t xml:space="preserve"> plenamente el lema «la navaja no delinque, delinquen las personas»</w:t>
      </w:r>
      <w:r>
        <w:rPr>
          <w:rFonts w:ascii="Tahoma" w:hAnsi="Tahoma" w:cs="Tahoma"/>
          <w:b/>
        </w:rPr>
        <w:t xml:space="preserve"> en sintonía con el manifiesto de APRECU</w:t>
      </w:r>
    </w:p>
    <w:p w14:paraId="2D1DB34D" w14:textId="5AB111F9" w:rsidR="00BF454B" w:rsidRPr="00BF454B" w:rsidRDefault="00BF454B" w:rsidP="00BF454B">
      <w:pPr>
        <w:pStyle w:val="Prrafodelista"/>
        <w:numPr>
          <w:ilvl w:val="0"/>
          <w:numId w:val="14"/>
        </w:numPr>
        <w:spacing w:line="240" w:lineRule="auto"/>
        <w:ind w:left="142" w:hanging="142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Se pide unidad institucional </w:t>
      </w:r>
      <w:r w:rsidRPr="00BF454B">
        <w:rPr>
          <w:rFonts w:ascii="Tahoma" w:hAnsi="Tahoma" w:cs="Tahoma"/>
          <w:b/>
        </w:rPr>
        <w:t>para blindar legalmente el futuro de nuestra cuchillería frente a cualquier amenaza centralista o regulatoria</w:t>
      </w:r>
    </w:p>
    <w:p w14:paraId="090723EF" w14:textId="77777777" w:rsidR="00C84A02" w:rsidRPr="00C84A02" w:rsidRDefault="00C84A02" w:rsidP="00C84A02">
      <w:pPr>
        <w:jc w:val="center"/>
        <w:rPr>
          <w:rFonts w:ascii="Tahoma" w:hAnsi="Tahoma" w:cs="Tahoma"/>
          <w:b/>
          <w:sz w:val="32"/>
          <w:szCs w:val="32"/>
        </w:rPr>
      </w:pPr>
    </w:p>
    <w:p w14:paraId="7A47F1FB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351B1D6D" w14:textId="3C7F07B5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>Ante las recientes iniciativas políticas y las propuestas de reforma legislativa presentadas en el Congreso de los Diputados</w:t>
      </w:r>
      <w:r>
        <w:rPr>
          <w:rFonts w:ascii="Tahoma" w:hAnsi="Tahoma" w:cs="Tahoma"/>
          <w:bCs/>
          <w:sz w:val="22"/>
          <w:szCs w:val="22"/>
        </w:rPr>
        <w:t>,</w:t>
      </w:r>
      <w:r w:rsidRPr="00C84A02">
        <w:rPr>
          <w:rFonts w:ascii="Tahoma" w:hAnsi="Tahoma" w:cs="Tahoma"/>
          <w:bCs/>
          <w:sz w:val="22"/>
          <w:szCs w:val="22"/>
        </w:rPr>
        <w:t xml:space="preserve"> orientadas a endurecer las restricciones y prohibiciones sobre la tenencia y comercialización de armas blancas, los órganos de gobierno de </w:t>
      </w:r>
      <w:hyperlink r:id="rId8" w:history="1"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>
        <w:rPr>
          <w:rFonts w:ascii="Tahoma" w:hAnsi="Tahoma" w:cs="Tahoma"/>
          <w:bCs/>
          <w:sz w:val="22"/>
          <w:szCs w:val="22"/>
        </w:rPr>
        <w:t xml:space="preserve">, su </w:t>
      </w:r>
      <w:hyperlink r:id="rId9" w:history="1"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Comité Ejecutivo</w:t>
        </w:r>
      </w:hyperlink>
      <w:r>
        <w:rPr>
          <w:rFonts w:ascii="Tahoma" w:hAnsi="Tahoma" w:cs="Tahoma"/>
          <w:bCs/>
          <w:sz w:val="22"/>
          <w:szCs w:val="22"/>
        </w:rPr>
        <w:t xml:space="preserve"> y la </w:t>
      </w:r>
      <w:hyperlink r:id="rId10" w:history="1"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Junta Directiva</w:t>
        </w:r>
      </w:hyperlink>
      <w:r>
        <w:rPr>
          <w:rFonts w:ascii="Tahoma" w:hAnsi="Tahoma" w:cs="Tahoma"/>
          <w:bCs/>
          <w:sz w:val="22"/>
          <w:szCs w:val="22"/>
        </w:rPr>
        <w:t>, que preside Artemio Pérez Alfaro, han</w:t>
      </w:r>
      <w:r w:rsidRPr="00C84A02">
        <w:rPr>
          <w:rFonts w:ascii="Tahoma" w:hAnsi="Tahoma" w:cs="Tahoma"/>
          <w:bCs/>
          <w:sz w:val="22"/>
          <w:szCs w:val="22"/>
        </w:rPr>
        <w:t xml:space="preserve"> manif</w:t>
      </w:r>
      <w:r>
        <w:rPr>
          <w:rFonts w:ascii="Tahoma" w:hAnsi="Tahoma" w:cs="Tahoma"/>
          <w:bCs/>
          <w:sz w:val="22"/>
          <w:szCs w:val="22"/>
        </w:rPr>
        <w:t>estado, en su reunión de ayer, día 9 de junio,</w:t>
      </w:r>
      <w:r w:rsidRPr="00C84A02">
        <w:rPr>
          <w:rFonts w:ascii="Tahoma" w:hAnsi="Tahoma" w:cs="Tahoma"/>
          <w:bCs/>
          <w:sz w:val="22"/>
          <w:szCs w:val="22"/>
        </w:rPr>
        <w:t xml:space="preserve"> su profunda preocupación por el impacto y el agravio que estas medidas suponen para un sector emblemático de nuestra provincia.</w:t>
      </w:r>
    </w:p>
    <w:p w14:paraId="6C44A028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1FC11C43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>La cuchillería y la navaja tradicional de Albacete no constituyen meros objetos materiales; representan una seña de identidad cultural indestructible, un oficio artesanal histórico reconocido como Bien de Interés Cultural, y un pilar de la historia y el sentir de Albacete.</w:t>
      </w:r>
    </w:p>
    <w:p w14:paraId="4E660863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3B5C93D5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>Criminalizar el producto o restringir de forma indiscriminada su tráfico legítimo supone un ataque directo al corazón de nuestra tradición, a una pieza clave del tejido empresarial de la provincia y, en definitiva, al esfuerzo de generaciones de familias albaceteñas.</w:t>
      </w:r>
    </w:p>
    <w:p w14:paraId="69A0325C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41B8E769" w14:textId="04678CB6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 xml:space="preserve">Asumiendo plenamente el lema «la navaja no delinque, delinquen las personas», y en total sintonía con el Manifiesto oficial presentado por la </w:t>
      </w:r>
      <w:hyperlink r:id="rId11" w:history="1"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Asociación de Cuchillería y Afines de Albacete</w:t>
        </w:r>
        <w:r w:rsidR="00415FE2">
          <w:rPr>
            <w:rStyle w:val="Hipervnculo"/>
            <w:rFonts w:ascii="Tahoma" w:hAnsi="Tahoma" w:cs="Tahoma"/>
            <w:bCs/>
            <w:sz w:val="22"/>
            <w:szCs w:val="22"/>
          </w:rPr>
          <w:t xml:space="preserve">, </w:t>
        </w:r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APRECU</w:t>
        </w:r>
        <w:r w:rsidR="00415FE2">
          <w:rPr>
            <w:rStyle w:val="Hipervnculo"/>
            <w:rFonts w:ascii="Tahoma" w:hAnsi="Tahoma" w:cs="Tahoma"/>
            <w:bCs/>
            <w:sz w:val="22"/>
            <w:szCs w:val="22"/>
          </w:rPr>
          <w:t>,</w:t>
        </w:r>
      </w:hyperlink>
      <w:r w:rsidRPr="00C84A02">
        <w:rPr>
          <w:rFonts w:ascii="Tahoma" w:hAnsi="Tahoma" w:cs="Tahoma"/>
          <w:bCs/>
          <w:sz w:val="22"/>
          <w:szCs w:val="22"/>
        </w:rPr>
        <w:t xml:space="preserve"> en la plaza del Altozano, </w:t>
      </w:r>
      <w:r>
        <w:rPr>
          <w:rFonts w:ascii="Tahoma" w:hAnsi="Tahoma" w:cs="Tahoma"/>
          <w:bCs/>
          <w:sz w:val="22"/>
          <w:szCs w:val="22"/>
        </w:rPr>
        <w:t>y cuya presidenta, Pilar Jiménez</w:t>
      </w:r>
      <w:r w:rsidR="00BF454B">
        <w:rPr>
          <w:rFonts w:ascii="Tahoma" w:hAnsi="Tahoma" w:cs="Tahoma"/>
          <w:bCs/>
          <w:sz w:val="22"/>
          <w:szCs w:val="22"/>
        </w:rPr>
        <w:t xml:space="preserve"> García</w:t>
      </w:r>
      <w:r>
        <w:rPr>
          <w:rFonts w:ascii="Tahoma" w:hAnsi="Tahoma" w:cs="Tahoma"/>
          <w:bCs/>
          <w:sz w:val="22"/>
          <w:szCs w:val="22"/>
        </w:rPr>
        <w:t xml:space="preserve">, forma parte del Comité Ejecutivo, </w:t>
      </w:r>
      <w:r w:rsidRPr="00C84A02">
        <w:rPr>
          <w:rFonts w:ascii="Tahoma" w:hAnsi="Tahoma" w:cs="Tahoma"/>
          <w:bCs/>
          <w:sz w:val="22"/>
          <w:szCs w:val="22"/>
        </w:rPr>
        <w:t>FEDA no puede permanecer ajena ante una regulación que consideramos desproporcionada e injusta.</w:t>
      </w:r>
    </w:p>
    <w:p w14:paraId="6D9287E0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29738953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>Por todo ello, el Comité Ejecutivo y la Junta Directiva de FEDA, en sesión ordinaria y por unanimidad de todos sus miembros, adoptan el siguiente acuerdo:</w:t>
      </w:r>
    </w:p>
    <w:p w14:paraId="5067ECD3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3DF532EB" w14:textId="77777777" w:rsidR="00C84A02" w:rsidRDefault="00C84A02" w:rsidP="00C84A02">
      <w:pPr>
        <w:rPr>
          <w:rFonts w:ascii="Tahoma" w:hAnsi="Tahoma" w:cs="Tahoma"/>
          <w:b/>
          <w:sz w:val="22"/>
          <w:szCs w:val="22"/>
        </w:rPr>
      </w:pPr>
      <w:r w:rsidRPr="00C84A02">
        <w:rPr>
          <w:rFonts w:ascii="Tahoma" w:hAnsi="Tahoma" w:cs="Tahoma"/>
          <w:b/>
          <w:sz w:val="22"/>
          <w:szCs w:val="22"/>
        </w:rPr>
        <w:t>PRIMERO. Adhesión incondicional al Manifiesto de APRECU.</w:t>
      </w:r>
    </w:p>
    <w:p w14:paraId="6AA995C4" w14:textId="77777777" w:rsidR="00C84A02" w:rsidRPr="00C84A02" w:rsidRDefault="00C84A02" w:rsidP="00C84A02">
      <w:pPr>
        <w:rPr>
          <w:rFonts w:ascii="Tahoma" w:hAnsi="Tahoma" w:cs="Tahoma"/>
          <w:b/>
          <w:sz w:val="22"/>
          <w:szCs w:val="22"/>
        </w:rPr>
      </w:pPr>
    </w:p>
    <w:p w14:paraId="02AF3A2A" w14:textId="778B190F" w:rsid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 xml:space="preserve">El Comité Ejecutivo y la Junta Directiva de FEDA declaran su adhesión total, unánime y sin fisuras al manifiesto en </w:t>
      </w:r>
      <w:hyperlink r:id="rId12" w:history="1">
        <w:r w:rsidRPr="00415FE2">
          <w:rPr>
            <w:rStyle w:val="Hipervnculo"/>
            <w:rFonts w:ascii="Tahoma" w:hAnsi="Tahoma" w:cs="Tahoma"/>
            <w:bCs/>
            <w:sz w:val="22"/>
            <w:szCs w:val="22"/>
          </w:rPr>
          <w:t>defensa del sector cuchillero presentado por APRECU</w:t>
        </w:r>
      </w:hyperlink>
      <w:r w:rsidRPr="00C84A02">
        <w:rPr>
          <w:rFonts w:ascii="Tahoma" w:hAnsi="Tahoma" w:cs="Tahoma"/>
          <w:bCs/>
          <w:sz w:val="22"/>
          <w:szCs w:val="22"/>
        </w:rPr>
        <w:t xml:space="preserve">. </w:t>
      </w:r>
    </w:p>
    <w:p w14:paraId="417A3E48" w14:textId="77777777" w:rsidR="00BF454B" w:rsidRDefault="00BF454B" w:rsidP="00C84A02">
      <w:pPr>
        <w:rPr>
          <w:rFonts w:ascii="Tahoma" w:hAnsi="Tahoma" w:cs="Tahoma"/>
          <w:bCs/>
          <w:sz w:val="22"/>
          <w:szCs w:val="22"/>
        </w:rPr>
      </w:pPr>
    </w:p>
    <w:p w14:paraId="61205D45" w14:textId="77777777" w:rsidR="00BF454B" w:rsidRDefault="00BF454B" w:rsidP="00C84A02">
      <w:pPr>
        <w:rPr>
          <w:rFonts w:ascii="Tahoma" w:hAnsi="Tahoma" w:cs="Tahoma"/>
          <w:bCs/>
          <w:sz w:val="22"/>
          <w:szCs w:val="22"/>
        </w:rPr>
      </w:pPr>
    </w:p>
    <w:p w14:paraId="71A51EB9" w14:textId="77777777" w:rsidR="00BF454B" w:rsidRDefault="00BF454B" w:rsidP="00C84A02">
      <w:pPr>
        <w:rPr>
          <w:rFonts w:ascii="Tahoma" w:hAnsi="Tahoma" w:cs="Tahoma"/>
          <w:bCs/>
          <w:sz w:val="22"/>
          <w:szCs w:val="22"/>
        </w:rPr>
      </w:pPr>
    </w:p>
    <w:p w14:paraId="03D8828E" w14:textId="77777777" w:rsidR="00BF454B" w:rsidRDefault="00BF454B" w:rsidP="00C84A02">
      <w:pPr>
        <w:rPr>
          <w:rFonts w:ascii="Tahoma" w:hAnsi="Tahoma" w:cs="Tahoma"/>
          <w:bCs/>
          <w:sz w:val="22"/>
          <w:szCs w:val="22"/>
        </w:rPr>
      </w:pPr>
    </w:p>
    <w:p w14:paraId="5F0B7CAD" w14:textId="77777777" w:rsidR="00BF454B" w:rsidRPr="00C84A02" w:rsidRDefault="00BF454B" w:rsidP="00C84A02">
      <w:pPr>
        <w:rPr>
          <w:rFonts w:ascii="Tahoma" w:hAnsi="Tahoma" w:cs="Tahoma"/>
          <w:bCs/>
          <w:sz w:val="22"/>
          <w:szCs w:val="22"/>
        </w:rPr>
      </w:pPr>
    </w:p>
    <w:p w14:paraId="17571A1A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03911DCF" w14:textId="77777777" w:rsidR="00C84A02" w:rsidRDefault="00C84A02" w:rsidP="00C84A02">
      <w:pPr>
        <w:rPr>
          <w:rFonts w:ascii="Tahoma" w:hAnsi="Tahoma" w:cs="Tahoma"/>
          <w:b/>
          <w:sz w:val="22"/>
          <w:szCs w:val="22"/>
        </w:rPr>
      </w:pPr>
      <w:r w:rsidRPr="00C84A02">
        <w:rPr>
          <w:rFonts w:ascii="Tahoma" w:hAnsi="Tahoma" w:cs="Tahoma"/>
          <w:b/>
          <w:sz w:val="22"/>
          <w:szCs w:val="22"/>
        </w:rPr>
        <w:t>SEGUNDO. Defensa de la navaja tradicional como patrimonio y cultura.</w:t>
      </w:r>
    </w:p>
    <w:p w14:paraId="5F9CB4A5" w14:textId="77777777" w:rsidR="00C84A02" w:rsidRPr="00C84A02" w:rsidRDefault="00C84A02" w:rsidP="00C84A02">
      <w:pPr>
        <w:rPr>
          <w:rFonts w:ascii="Tahoma" w:hAnsi="Tahoma" w:cs="Tahoma"/>
          <w:b/>
          <w:sz w:val="22"/>
          <w:szCs w:val="22"/>
        </w:rPr>
      </w:pPr>
    </w:p>
    <w:p w14:paraId="6752ED25" w14:textId="1CBF9805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 xml:space="preserve">Esta </w:t>
      </w:r>
      <w:r>
        <w:rPr>
          <w:rFonts w:ascii="Tahoma" w:hAnsi="Tahoma" w:cs="Tahoma"/>
          <w:bCs/>
          <w:sz w:val="22"/>
          <w:szCs w:val="22"/>
        </w:rPr>
        <w:t xml:space="preserve">organización </w:t>
      </w:r>
      <w:r w:rsidRPr="00C84A02">
        <w:rPr>
          <w:rFonts w:ascii="Tahoma" w:hAnsi="Tahoma" w:cs="Tahoma"/>
          <w:bCs/>
          <w:sz w:val="22"/>
          <w:szCs w:val="22"/>
        </w:rPr>
        <w:t>exige a los poderes públicos el respeto absoluto a la navaja de Albacete, demandando que sea tratada legalmente como lo que es: una herramienta de trabajo, una pieza de coleccionismo, un deporte y una obra de arte protegida por su valor cultural, rechazando de manera tajante cualquier intento de asimilación o equiparación conceptual con fines delictivos.</w:t>
      </w:r>
    </w:p>
    <w:p w14:paraId="0A9D10EB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469EC1BD" w14:textId="77777777" w:rsidR="00C84A02" w:rsidRDefault="00C84A02" w:rsidP="00C84A02">
      <w:pPr>
        <w:rPr>
          <w:rFonts w:ascii="Tahoma" w:hAnsi="Tahoma" w:cs="Tahoma"/>
          <w:b/>
          <w:sz w:val="22"/>
          <w:szCs w:val="22"/>
        </w:rPr>
      </w:pPr>
      <w:r w:rsidRPr="00C84A02">
        <w:rPr>
          <w:rFonts w:ascii="Tahoma" w:hAnsi="Tahoma" w:cs="Tahoma"/>
          <w:b/>
          <w:sz w:val="22"/>
          <w:szCs w:val="22"/>
        </w:rPr>
        <w:t>TERCERO. Exigencia de rectificación a las Cortes Generales y al Gobierno de España.</w:t>
      </w:r>
    </w:p>
    <w:p w14:paraId="368E0C99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016B2A4E" w14:textId="22903BB3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 xml:space="preserve">Instar de manera firme a los grupos políticos del Congreso de los Diputados y al Gobierno de la </w:t>
      </w:r>
      <w:r>
        <w:rPr>
          <w:rFonts w:ascii="Tahoma" w:hAnsi="Tahoma" w:cs="Tahoma"/>
          <w:bCs/>
          <w:sz w:val="22"/>
          <w:szCs w:val="22"/>
        </w:rPr>
        <w:t>n</w:t>
      </w:r>
      <w:r w:rsidRPr="00C84A02">
        <w:rPr>
          <w:rFonts w:ascii="Tahoma" w:hAnsi="Tahoma" w:cs="Tahoma"/>
          <w:bCs/>
          <w:sz w:val="22"/>
          <w:szCs w:val="22"/>
        </w:rPr>
        <w:t>ación a paralizar y revisar cualquier proyecto normativo o reforma del Reglamento de Armas que pretenda prohibir o restringir la actividad comercial de las navajas autorizadas. Exigimos que las leyes pongan el foco exclusivamente sobre el infractor y las conductas delictivas, dotando al sector de la estabilidad y la seguridad</w:t>
      </w:r>
      <w:r w:rsidR="00BF454B">
        <w:rPr>
          <w:rFonts w:ascii="Tahoma" w:hAnsi="Tahoma" w:cs="Tahoma"/>
          <w:bCs/>
          <w:sz w:val="22"/>
          <w:szCs w:val="22"/>
        </w:rPr>
        <w:t xml:space="preserve"> </w:t>
      </w:r>
      <w:r w:rsidRPr="00C84A02">
        <w:rPr>
          <w:rFonts w:ascii="Tahoma" w:hAnsi="Tahoma" w:cs="Tahoma"/>
          <w:bCs/>
          <w:sz w:val="22"/>
          <w:szCs w:val="22"/>
        </w:rPr>
        <w:t>jurídica que merece.</w:t>
      </w:r>
    </w:p>
    <w:p w14:paraId="07429136" w14:textId="77777777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</w:p>
    <w:p w14:paraId="1FC971CD" w14:textId="77777777" w:rsidR="00C84A02" w:rsidRDefault="00C84A02" w:rsidP="00C84A02">
      <w:pPr>
        <w:rPr>
          <w:rFonts w:ascii="Tahoma" w:hAnsi="Tahoma" w:cs="Tahoma"/>
          <w:b/>
          <w:sz w:val="22"/>
          <w:szCs w:val="22"/>
        </w:rPr>
      </w:pPr>
      <w:r w:rsidRPr="00C84A02">
        <w:rPr>
          <w:rFonts w:ascii="Tahoma" w:hAnsi="Tahoma" w:cs="Tahoma"/>
          <w:b/>
          <w:sz w:val="22"/>
          <w:szCs w:val="22"/>
        </w:rPr>
        <w:t>CUARTO. Llamamiento a la unidad institucional.</w:t>
      </w:r>
    </w:p>
    <w:p w14:paraId="7F7CCA5C" w14:textId="77777777" w:rsidR="00BF454B" w:rsidRPr="00C84A02" w:rsidRDefault="00BF454B" w:rsidP="00C84A02">
      <w:pPr>
        <w:rPr>
          <w:rFonts w:ascii="Tahoma" w:hAnsi="Tahoma" w:cs="Tahoma"/>
          <w:b/>
          <w:sz w:val="22"/>
          <w:szCs w:val="22"/>
        </w:rPr>
      </w:pPr>
    </w:p>
    <w:p w14:paraId="0E1F98C2" w14:textId="2172CCCB" w:rsidR="00C84A02" w:rsidRPr="00C84A02" w:rsidRDefault="00C84A02" w:rsidP="00C84A02">
      <w:pPr>
        <w:rPr>
          <w:rFonts w:ascii="Tahoma" w:hAnsi="Tahoma" w:cs="Tahoma"/>
          <w:bCs/>
          <w:sz w:val="22"/>
          <w:szCs w:val="22"/>
        </w:rPr>
      </w:pPr>
      <w:r w:rsidRPr="00C84A02">
        <w:rPr>
          <w:rFonts w:ascii="Tahoma" w:hAnsi="Tahoma" w:cs="Tahoma"/>
          <w:bCs/>
          <w:sz w:val="22"/>
          <w:szCs w:val="22"/>
        </w:rPr>
        <w:t>FEDA valora positivamente el frente común logrado en el Ayuntamiento de Albacete</w:t>
      </w:r>
      <w:r w:rsidR="00BF454B">
        <w:rPr>
          <w:rFonts w:ascii="Tahoma" w:hAnsi="Tahoma" w:cs="Tahoma"/>
          <w:bCs/>
          <w:sz w:val="22"/>
          <w:szCs w:val="22"/>
        </w:rPr>
        <w:t>, la Diputación Provincial</w:t>
      </w:r>
      <w:r w:rsidRPr="00C84A02">
        <w:rPr>
          <w:rFonts w:ascii="Tahoma" w:hAnsi="Tahoma" w:cs="Tahoma"/>
          <w:bCs/>
          <w:sz w:val="22"/>
          <w:szCs w:val="22"/>
        </w:rPr>
        <w:t xml:space="preserve"> y las Cortes de Castilla-La Mancha, y reafirma su compromiso de seguir trabajando de la mano con todas las administraciones públicas y agentes sociales de la región para blindar legalmente el futuro de nuestra cuchillería frente a cualquier amenaza centralista o regulatoria.</w:t>
      </w:r>
    </w:p>
    <w:p w14:paraId="103CA3F8" w14:textId="77777777" w:rsidR="00C84A02" w:rsidRPr="00C84A02" w:rsidRDefault="00C84A02" w:rsidP="00C84A02">
      <w:pPr>
        <w:jc w:val="right"/>
        <w:rPr>
          <w:rFonts w:ascii="Tahoma" w:hAnsi="Tahoma" w:cs="Tahoma"/>
          <w:bCs/>
          <w:sz w:val="22"/>
          <w:szCs w:val="22"/>
        </w:rPr>
      </w:pPr>
    </w:p>
    <w:p w14:paraId="63B3F0DD" w14:textId="77777777" w:rsidR="00FA28C7" w:rsidRPr="00C84A02" w:rsidRDefault="00FA28C7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p w14:paraId="1AF812D8" w14:textId="77777777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44C38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76604" w14:textId="77777777" w:rsidR="007B4289" w:rsidRDefault="007B4289">
      <w:r>
        <w:separator/>
      </w:r>
    </w:p>
  </w:endnote>
  <w:endnote w:type="continuationSeparator" w:id="0">
    <w:p w14:paraId="5908155C" w14:textId="77777777" w:rsidR="007B4289" w:rsidRDefault="007B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4C69E" w14:textId="77777777" w:rsidR="007B4289" w:rsidRDefault="007B4289">
      <w:r>
        <w:separator/>
      </w:r>
    </w:p>
  </w:footnote>
  <w:footnote w:type="continuationSeparator" w:id="0">
    <w:p w14:paraId="030E7D1A" w14:textId="77777777" w:rsidR="007B4289" w:rsidRDefault="007B4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7D570B"/>
    <w:multiLevelType w:val="hybridMultilevel"/>
    <w:tmpl w:val="EC643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693E3B"/>
    <w:multiLevelType w:val="hybridMultilevel"/>
    <w:tmpl w:val="423A22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933BFC"/>
    <w:multiLevelType w:val="hybridMultilevel"/>
    <w:tmpl w:val="C0D42E5C"/>
    <w:lvl w:ilvl="0" w:tplc="E3664A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4327F5"/>
    <w:multiLevelType w:val="hybridMultilevel"/>
    <w:tmpl w:val="533C9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567C8"/>
    <w:multiLevelType w:val="multilevel"/>
    <w:tmpl w:val="4DD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FFF756A"/>
    <w:multiLevelType w:val="hybridMultilevel"/>
    <w:tmpl w:val="80C6B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6" w15:restartNumberingAfterBreak="0">
    <w:nsid w:val="6B432FB3"/>
    <w:multiLevelType w:val="hybridMultilevel"/>
    <w:tmpl w:val="26A29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89515668">
    <w:abstractNumId w:val="14"/>
  </w:num>
  <w:num w:numId="7" w16cid:durableId="515971103">
    <w:abstractNumId w:val="12"/>
  </w:num>
  <w:num w:numId="8" w16cid:durableId="1270119814">
    <w:abstractNumId w:val="9"/>
  </w:num>
  <w:num w:numId="9" w16cid:durableId="1010529171">
    <w:abstractNumId w:val="8"/>
  </w:num>
  <w:num w:numId="10" w16cid:durableId="1921329495">
    <w:abstractNumId w:val="13"/>
  </w:num>
  <w:num w:numId="11" w16cid:durableId="246304473">
    <w:abstractNumId w:val="10"/>
  </w:num>
  <w:num w:numId="12" w16cid:durableId="1262185061">
    <w:abstractNumId w:val="16"/>
  </w:num>
  <w:num w:numId="13" w16cid:durableId="1504542493">
    <w:abstractNumId w:val="11"/>
  </w:num>
  <w:num w:numId="14" w16cid:durableId="1075472837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38BA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169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67AF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42E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5FE2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5B71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111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1958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B22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14B7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4289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C73D9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3EE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2F7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4D58"/>
    <w:rsid w:val="00A95709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6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5E0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54B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1E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A0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5B35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3C4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B7B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2DC5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A0E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8C7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59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5A5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recu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10-asociacion-provincial-de-empresarios-de-cuchilleria-y-afines-de-albacet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feda/asociaciones-junta-directiv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organos-de-gobierno/comite-ejecutivo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624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2026-06-10T09:32:00Z</dcterms:created>
  <dcterms:modified xsi:type="dcterms:W3CDTF">2026-06-10T09:35:00Z</dcterms:modified>
</cp:coreProperties>
</file>