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02" w:rsidRDefault="00480BB0">
      <w:pPr>
        <w:spacing w:line="240" w:lineRule="auto"/>
        <w:jc w:val="right"/>
      </w:pPr>
      <w:bookmarkStart w:id="0" w:name="_GoBack"/>
      <w:bookmarkEnd w:id="0"/>
      <w:r>
        <w:rPr>
          <w:rFonts w:ascii="Tahoma" w:hAnsi="Tahoma" w:cs="Tahoma"/>
          <w:bCs/>
          <w:sz w:val="26"/>
          <w:szCs w:val="26"/>
        </w:rPr>
        <w:t>Albacete, 18 de junio de 2020</w:t>
      </w:r>
    </w:p>
    <w:p w:rsidR="00FF0402" w:rsidRDefault="00FF0402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FF0402" w:rsidRDefault="00480BB0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El Observatorio de Igualdad en las Relaciones Laborales pretende llegar con sus encuestas a 10.000 empresas y 20.000 personas trabajadoras para evaluar </w:t>
      </w:r>
      <w:r>
        <w:rPr>
          <w:rFonts w:ascii="Tahoma" w:hAnsi="Tahoma" w:cs="Tahoma"/>
          <w:b/>
          <w:bCs/>
          <w:sz w:val="32"/>
          <w:szCs w:val="32"/>
        </w:rPr>
        <w:t>el impacto de la Covid-19 en el mercado de trabajo</w:t>
      </w:r>
    </w:p>
    <w:p w:rsidR="00FF0402" w:rsidRDefault="00480BB0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Los agentes sociales, CCOO, UGT y FEDA, ponen a disposición de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este  trabajo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su base asociativa en la provincia de Albacete</w:t>
      </w:r>
    </w:p>
    <w:p w:rsidR="00FF0402" w:rsidRDefault="00480BB0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Encuestas con perspectiva de género, para analizar los datos segregados por sexos</w:t>
      </w:r>
      <w:r>
        <w:rPr>
          <w:rFonts w:ascii="Tahoma" w:hAnsi="Tahoma" w:cs="Tahoma"/>
          <w:b/>
          <w:bCs/>
          <w:sz w:val="24"/>
          <w:szCs w:val="24"/>
        </w:rPr>
        <w:t xml:space="preserve"> y en dos direcciones, para empresas y para profesionales de las mismas</w:t>
      </w:r>
    </w:p>
    <w:p w:rsidR="00FF0402" w:rsidRDefault="00FF0402">
      <w:pPr>
        <w:spacing w:line="240" w:lineRule="auto"/>
        <w:ind w:left="7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hint="eastAsia"/>
        </w:rPr>
      </w:pPr>
      <w:r>
        <w:rPr>
          <w:rFonts w:ascii="Tahoma" w:hAnsi="Tahoma" w:cs="Tahoma"/>
          <w:color w:val="192225"/>
        </w:rPr>
        <w:t xml:space="preserve">El </w:t>
      </w:r>
      <w:hyperlink r:id="rId7" w:history="1">
        <w:r>
          <w:rPr>
            <w:rStyle w:val="Hipervnculo"/>
            <w:rFonts w:ascii="Tahoma" w:hAnsi="Tahoma" w:cs="Tahoma"/>
          </w:rPr>
          <w:t>Observatorio Provincial de Igualdad en las Relaciones Laborales</w:t>
        </w:r>
      </w:hyperlink>
      <w:r>
        <w:rPr>
          <w:rFonts w:ascii="Tahoma" w:hAnsi="Tahoma" w:cs="Tahoma"/>
          <w:color w:val="192225"/>
        </w:rPr>
        <w:t xml:space="preserve">, promovido desde los agentes sociales </w:t>
      </w:r>
      <w:hyperlink r:id="rId8" w:history="1">
        <w:r>
          <w:rPr>
            <w:rStyle w:val="Hipervnculo"/>
            <w:rFonts w:ascii="Tahoma" w:hAnsi="Tahoma" w:cs="Tahoma"/>
          </w:rPr>
          <w:t>CCOO</w:t>
        </w:r>
      </w:hyperlink>
      <w:r>
        <w:rPr>
          <w:rFonts w:ascii="Tahoma" w:hAnsi="Tahoma" w:cs="Tahoma"/>
          <w:color w:val="192225"/>
        </w:rPr>
        <w:t xml:space="preserve">, </w:t>
      </w:r>
      <w:hyperlink r:id="rId9" w:history="1">
        <w:r>
          <w:rPr>
            <w:rStyle w:val="Hipervnculo"/>
            <w:rFonts w:ascii="Tahoma" w:hAnsi="Tahoma" w:cs="Tahoma"/>
          </w:rPr>
          <w:t>UGT</w:t>
        </w:r>
      </w:hyperlink>
      <w:r>
        <w:rPr>
          <w:rFonts w:ascii="Tahoma" w:hAnsi="Tahoma" w:cs="Tahoma"/>
          <w:color w:val="192225"/>
        </w:rPr>
        <w:t xml:space="preserve"> y </w:t>
      </w:r>
      <w:hyperlink r:id="rId10" w:history="1">
        <w:r>
          <w:rPr>
            <w:rStyle w:val="Hipervnculo"/>
            <w:rFonts w:ascii="Tahoma" w:hAnsi="Tahoma" w:cs="Tahoma"/>
          </w:rPr>
          <w:t>FEDA</w:t>
        </w:r>
      </w:hyperlink>
      <w:r>
        <w:rPr>
          <w:rFonts w:ascii="Tahoma" w:hAnsi="Tahoma" w:cs="Tahoma"/>
          <w:color w:val="192225"/>
        </w:rPr>
        <w:t xml:space="preserve">, </w:t>
      </w:r>
      <w:r>
        <w:rPr>
          <w:rFonts w:ascii="Tahoma" w:hAnsi="Tahoma" w:cs="Tahoma"/>
          <w:color w:val="192225"/>
        </w:rPr>
        <w:t xml:space="preserve">y con el apoyo institucional de la </w:t>
      </w:r>
      <w:hyperlink r:id="rId11" w:history="1">
        <w:r>
          <w:rPr>
            <w:rStyle w:val="Hipervnculo"/>
            <w:rFonts w:ascii="Tahoma" w:hAnsi="Tahoma" w:cs="Tahoma"/>
          </w:rPr>
          <w:t>Junta de Comunidades de Castilla-La Mancha</w:t>
        </w:r>
      </w:hyperlink>
      <w:r>
        <w:rPr>
          <w:rFonts w:ascii="Tahoma" w:hAnsi="Tahoma" w:cs="Tahoma"/>
          <w:color w:val="192225"/>
        </w:rPr>
        <w:t xml:space="preserve">, </w:t>
      </w:r>
      <w:hyperlink r:id="rId12" w:history="1">
        <w:r>
          <w:rPr>
            <w:rStyle w:val="Hipervnculo"/>
            <w:rFonts w:ascii="Tahoma" w:hAnsi="Tahoma" w:cs="Tahoma"/>
          </w:rPr>
          <w:t>Diputación Provincial</w:t>
        </w:r>
      </w:hyperlink>
      <w:r>
        <w:rPr>
          <w:rFonts w:ascii="Tahoma" w:hAnsi="Tahoma" w:cs="Tahoma"/>
          <w:color w:val="192225"/>
        </w:rPr>
        <w:t xml:space="preserve"> y </w:t>
      </w:r>
      <w:hyperlink r:id="rId13" w:history="1">
        <w:r>
          <w:rPr>
            <w:rStyle w:val="Hipervnculo"/>
            <w:rFonts w:ascii="Tahoma" w:hAnsi="Tahoma" w:cs="Tahoma"/>
          </w:rPr>
          <w:t>del Ayuntamiento de Albacete</w:t>
        </w:r>
      </w:hyperlink>
      <w:r>
        <w:rPr>
          <w:rFonts w:ascii="Tahoma" w:hAnsi="Tahoma" w:cs="Tahoma"/>
          <w:color w:val="192225"/>
        </w:rPr>
        <w:t xml:space="preserve">, </w:t>
      </w:r>
      <w:r>
        <w:rPr>
          <w:rFonts w:ascii="Tahoma" w:hAnsi="Tahoma" w:cs="Tahoma"/>
        </w:rPr>
        <w:t>comienza esta semana</w:t>
      </w:r>
      <w:r>
        <w:rPr>
          <w:rFonts w:ascii="Tahoma" w:hAnsi="Tahoma" w:cs="Tahoma"/>
        </w:rPr>
        <w:t xml:space="preserve"> su trabajo de campo con la realización de sus encuestas con las que pretende llegar a través del efecto multiplicador de la base asociativa de los agentes sociales, 10.000 empresas y más de 20.000 personas trabajadoras de la provincia, para evaluar el imp</w:t>
      </w:r>
      <w:r>
        <w:rPr>
          <w:rFonts w:ascii="Tahoma" w:hAnsi="Tahoma" w:cs="Tahoma"/>
        </w:rPr>
        <w:t>acto del Covid-19.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hint="eastAsia"/>
        </w:rPr>
      </w:pPr>
      <w:r>
        <w:rPr>
          <w:rFonts w:ascii="Tahoma" w:hAnsi="Tahoma" w:cs="Tahoma"/>
        </w:rPr>
        <w:t xml:space="preserve">En este momento, </w:t>
      </w:r>
      <w:r>
        <w:rPr>
          <w:rFonts w:ascii="Tahoma" w:hAnsi="Tahoma" w:cs="Tahoma"/>
          <w:color w:val="192225"/>
        </w:rPr>
        <w:t xml:space="preserve">la </w:t>
      </w:r>
      <w:r>
        <w:rPr>
          <w:rFonts w:ascii="Tahoma" w:hAnsi="Tahoma" w:cs="Tahoma"/>
        </w:rPr>
        <w:t xml:space="preserve">principal preocupación del Observatorio es analizar el impacto que la crisis provocada por la pandemia está teniendo sobre el tejido empresarial </w:t>
      </w:r>
      <w:proofErr w:type="gramStart"/>
      <w:r>
        <w:rPr>
          <w:rFonts w:ascii="Tahoma" w:hAnsi="Tahoma" w:cs="Tahoma"/>
        </w:rPr>
        <w:t>y  el</w:t>
      </w:r>
      <w:proofErr w:type="gramEnd"/>
      <w:r>
        <w:rPr>
          <w:rFonts w:ascii="Tahoma" w:hAnsi="Tahoma" w:cs="Tahoma"/>
        </w:rPr>
        <w:t xml:space="preserve"> empleo en la provincia de Albacete. Saber cómo puede afectar la p</w:t>
      </w:r>
      <w:r>
        <w:rPr>
          <w:rFonts w:ascii="Tahoma" w:hAnsi="Tahoma" w:cs="Tahoma"/>
        </w:rPr>
        <w:t xml:space="preserve">andemia a la viabilidad y al futuro de las empresas y el impacto que puede tener sobre las personas trabajadoras.  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este objetivo, el Observatorio pone en marcha dos encuestas (una para empresas y otra para profesionales), realizadas con perspectiva d</w:t>
      </w:r>
      <w:r>
        <w:rPr>
          <w:rFonts w:ascii="Tahoma" w:hAnsi="Tahoma" w:cs="Tahoma"/>
        </w:rPr>
        <w:t xml:space="preserve">e género para analizar los datos segregados por sexos, estableciendo comparativas para conocer el impacto y los resultados que esta crisis está produciendo en la viabilidad y futuro de las empresas y en el mercado de trabajo. 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Las encuestas son ágiles, no</w:t>
      </w:r>
      <w:r>
        <w:rPr>
          <w:rFonts w:ascii="Tahoma" w:hAnsi="Tahoma" w:cs="Tahoma"/>
        </w:rPr>
        <w:t xml:space="preserve"> más de 3 minutos, y permitirán analizar la gestión de crisis, medidas de protección y gestión, viabilidad o conveniencia </w:t>
      </w:r>
      <w:proofErr w:type="gramStart"/>
      <w:r>
        <w:rPr>
          <w:rFonts w:ascii="Tahoma" w:hAnsi="Tahoma" w:cs="Tahoma"/>
        </w:rPr>
        <w:t>del  teletrabajo</w:t>
      </w:r>
      <w:proofErr w:type="gramEnd"/>
      <w:r>
        <w:rPr>
          <w:rFonts w:ascii="Tahoma" w:hAnsi="Tahoma" w:cs="Tahoma"/>
        </w:rPr>
        <w:t>, conciliación, corresponsabilidad, efectos de la crisis en relación al volumen de negocio y capital humano, entre otr</w:t>
      </w:r>
      <w:r>
        <w:rPr>
          <w:rFonts w:ascii="Tahoma" w:hAnsi="Tahoma" w:cs="Tahoma"/>
        </w:rPr>
        <w:t>os, lo que ayudaría a proponer políticas y acciones en el mercado laboral para atenuar el impacto de la crisis en la empleabilidad y condiciones laborales de mujeres y hombres y en los resultados de las empresas.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hint="eastAsia"/>
        </w:rPr>
      </w:pPr>
      <w:r>
        <w:rPr>
          <w:rFonts w:ascii="Tahoma" w:hAnsi="Tahoma" w:cs="Tahoma"/>
        </w:rPr>
        <w:t xml:space="preserve">Otra de las herramientas que el </w:t>
      </w:r>
      <w:r>
        <w:rPr>
          <w:rFonts w:ascii="Tahoma" w:hAnsi="Tahoma" w:cs="Tahoma"/>
        </w:rPr>
        <w:t xml:space="preserve">Observatorio ha puesto a disposición de trabajadores, trabajadoras y empresas es la </w:t>
      </w:r>
      <w:hyperlink r:id="rId14" w:history="1">
        <w:r>
          <w:rPr>
            <w:rStyle w:val="Hipervnculo"/>
            <w:rFonts w:ascii="Tahoma" w:hAnsi="Tahoma" w:cs="Tahoma"/>
          </w:rPr>
          <w:t>guía básica de conciliación, correspon</w:t>
        </w:r>
        <w:r>
          <w:rPr>
            <w:rStyle w:val="Hipervnculo"/>
            <w:rFonts w:ascii="Tahoma" w:hAnsi="Tahoma" w:cs="Tahoma"/>
          </w:rPr>
          <w:t>sabilidad y teletrabajo</w:t>
        </w:r>
      </w:hyperlink>
      <w:r>
        <w:rPr>
          <w:rFonts w:ascii="Tahoma" w:hAnsi="Tahoma" w:cs="Tahoma"/>
          <w:color w:val="192225"/>
        </w:rPr>
        <w:t xml:space="preserve">, </w:t>
      </w:r>
      <w:r>
        <w:rPr>
          <w:rFonts w:ascii="Tahoma" w:hAnsi="Tahoma" w:cs="Tahoma"/>
        </w:rPr>
        <w:t>con el propósito de dar respuestas a las empresas y a sus plantillas a partir de las implicaciones del Covid-19 en el ámbito laboral que desglosa, por ejemplo, las modificaciones normativas en cuanto a derechos laborales, conciliac</w:t>
      </w:r>
      <w:r>
        <w:rPr>
          <w:rFonts w:ascii="Tahoma" w:hAnsi="Tahoma" w:cs="Tahoma"/>
        </w:rPr>
        <w:t xml:space="preserve">ión personal, familiar, laboral y corresponsabilidad, líneas de ayuda, transformación digital, desde la tecnología y las personas. 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 Observatorio pretende plantear la Igualdad como una herramienta de competitividad empresarial a nivel provincial; asesor</w:t>
      </w:r>
      <w:r>
        <w:rPr>
          <w:rFonts w:ascii="Tahoma" w:hAnsi="Tahoma" w:cs="Tahoma"/>
        </w:rPr>
        <w:t xml:space="preserve">ar en materia de Igualdad a empresas, trabajadoras y </w:t>
      </w:r>
      <w:proofErr w:type="gramStart"/>
      <w:r>
        <w:rPr>
          <w:rFonts w:ascii="Tahoma" w:hAnsi="Tahoma" w:cs="Tahoma"/>
        </w:rPr>
        <w:t>trabajadores;  fomentar</w:t>
      </w:r>
      <w:proofErr w:type="gramEnd"/>
      <w:r>
        <w:rPr>
          <w:rFonts w:ascii="Tahoma" w:hAnsi="Tahoma" w:cs="Tahoma"/>
        </w:rPr>
        <w:t xml:space="preserve"> la Igualdad en las empresas de la provincia a través de acciones de sensibilización e impacto; y sensibilizar sobre la Igualdad de oportunidades y no discriminación en las relacio</w:t>
      </w:r>
      <w:r>
        <w:rPr>
          <w:rFonts w:ascii="Tahoma" w:hAnsi="Tahoma" w:cs="Tahoma"/>
        </w:rPr>
        <w:t xml:space="preserve">nes laborales. </w:t>
      </w: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480BB0">
      <w:pPr>
        <w:pStyle w:val="Textoindependiente"/>
        <w:spacing w:after="0" w:line="240" w:lineRule="auto"/>
        <w:jc w:val="both"/>
        <w:rPr>
          <w:rFonts w:hint="eastAsia"/>
        </w:rPr>
      </w:pPr>
      <w:r>
        <w:rPr>
          <w:rFonts w:ascii="Tahoma" w:hAnsi="Tahoma" w:cs="Tahoma"/>
        </w:rPr>
        <w:t xml:space="preserve">Más información: Contacto </w:t>
      </w:r>
      <w:hyperlink r:id="rId15" w:history="1">
        <w:r>
          <w:rPr>
            <w:rStyle w:val="Hipervnculo"/>
            <w:rFonts w:ascii="Tahoma" w:hAnsi="Tahoma" w:cs="Tahoma"/>
          </w:rPr>
          <w:t>OPI ALBACETE</w:t>
        </w:r>
      </w:hyperlink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FF0402">
      <w:pPr>
        <w:pStyle w:val="Textoindependiente"/>
        <w:spacing w:after="0" w:line="240" w:lineRule="auto"/>
        <w:jc w:val="both"/>
        <w:rPr>
          <w:rFonts w:ascii="Tahoma" w:hAnsi="Tahoma" w:cs="Tahoma"/>
        </w:rPr>
      </w:pPr>
    </w:p>
    <w:p w:rsidR="00FF0402" w:rsidRDefault="00FF0402">
      <w:pPr>
        <w:rPr>
          <w:rFonts w:ascii="Tahoma" w:eastAsia="Arial Unicode MS" w:hAnsi="Tahoma" w:cs="Tahoma"/>
          <w:sz w:val="24"/>
          <w:szCs w:val="24"/>
        </w:rPr>
      </w:pPr>
    </w:p>
    <w:sectPr w:rsidR="00FF0402">
      <w:headerReference w:type="default" r:id="rId16"/>
      <w:pgSz w:w="11906" w:h="16838"/>
      <w:pgMar w:top="1417" w:right="99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0BB0">
      <w:pPr>
        <w:spacing w:after="0" w:line="240" w:lineRule="auto"/>
      </w:pPr>
      <w:r>
        <w:separator/>
      </w:r>
    </w:p>
  </w:endnote>
  <w:endnote w:type="continuationSeparator" w:id="0">
    <w:p w:rsidR="00000000" w:rsidRDefault="0048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0B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8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E9F" w:rsidRDefault="00480BB0">
    <w:pPr>
      <w:pStyle w:val="Encabezado"/>
      <w:ind w:left="-851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4076386</wp:posOffset>
          </wp:positionH>
          <wp:positionV relativeFrom="paragraph">
            <wp:posOffset>-313044</wp:posOffset>
          </wp:positionV>
          <wp:extent cx="2101218" cy="1485269"/>
          <wp:effectExtent l="0" t="0" r="0" b="631"/>
          <wp:wrapSquare wrapText="bothSides"/>
          <wp:docPr id="1" name="Imagen 19" descr="\\Server-datos\dptos\ASOCIACIONES\RESPONSABLE DEPTO ASOCIACIONES\EVELIN EQUIPO GESTION\OBSERVATORIO IGUALDAD\DISEÑO\LOGOS\LOGOTIPOS OBSERVATORIO\LOGOTIPO-OBSERVATORIO-COLOR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1218" cy="14852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NOTA DE PRENSA</w:t>
    </w:r>
  </w:p>
  <w:p w:rsidR="008D3E9F" w:rsidRDefault="00480B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-206087</wp:posOffset>
          </wp:positionH>
          <wp:positionV relativeFrom="paragraph">
            <wp:posOffset>272408</wp:posOffset>
          </wp:positionV>
          <wp:extent cx="4528181" cy="477517"/>
          <wp:effectExtent l="0" t="0" r="5719" b="0"/>
          <wp:wrapSquare wrapText="bothSides"/>
          <wp:docPr id="2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8181" cy="477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D3E9F" w:rsidRDefault="00480BB0">
    <w:pPr>
      <w:pStyle w:val="Encabezado"/>
      <w:ind w:left="-993" w:firstLine="993"/>
    </w:pPr>
  </w:p>
  <w:p w:rsidR="008D3E9F" w:rsidRDefault="00480BB0">
    <w:pPr>
      <w:pStyle w:val="Encabezado"/>
      <w:ind w:left="-993"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516E"/>
    <w:multiLevelType w:val="multilevel"/>
    <w:tmpl w:val="529205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0402"/>
    <w:rsid w:val="00480BB0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EB5F-34F8-4275-98C3-F7E42F22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spacing w:after="140" w:line="288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illalamancha.ccoo.es/Albacete/Sedes_y_Asesorias" TargetMode="External"/><Relationship Id="rId13" Type="http://schemas.openxmlformats.org/officeDocument/2006/relationships/hyperlink" Target="http://www.albacete.es/es/webs-municipales/mujer-igualdad-familia/iguald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ialbacete.es/" TargetMode="External"/><Relationship Id="rId12" Type="http://schemas.openxmlformats.org/officeDocument/2006/relationships/hyperlink" Target="http://igualdad.dipualba.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tillalamancha.es/gobierno/igualdadyportavoz/estructura/dpiguyporab/funcionesycompetencias/funciones-y-competencias-de-la-delegaci&#243;n-provincial-consejer&#237;a-de-igualdad-y-portavoz-en-albace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ialbacete.es/contact/" TargetMode="External"/><Relationship Id="rId10" Type="http://schemas.openxmlformats.org/officeDocument/2006/relationships/hyperlink" Target="https://www.feda.es/valor-anadido/responsabilidad-social-empresarial/plan-de-igualdad/plan-de-igualdad-en-la-pren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gt.es/sedes/Castilla-La%20Mancha" TargetMode="External"/><Relationship Id="rId14" Type="http://schemas.openxmlformats.org/officeDocument/2006/relationships/hyperlink" Target="https://www.opialbacete.es/wp-content/uploads/2020/06/Gui&#769;a-ba&#769;sica-empleo-y-Covid-19.-Observatorio-Igualdad-V.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dc:description/>
  <cp:lastModifiedBy>usuario01</cp:lastModifiedBy>
  <cp:revision>2</cp:revision>
  <dcterms:created xsi:type="dcterms:W3CDTF">2020-06-18T09:10:00Z</dcterms:created>
  <dcterms:modified xsi:type="dcterms:W3CDTF">2020-06-18T09:10:00Z</dcterms:modified>
</cp:coreProperties>
</file>